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Relator: </w:t>
      </w:r>
      <w:r>
        <w:t xml:space="preserve">GUSTAVO ADOLPHO KUHL LEITE</w:t>
      </w:r>
    </w:p>
    <w:p/>
    <w:p>
      <w:r>
        <w:t xml:space="preserve">45. DANO MORAL — SÚMULAS - EXTRAVIO DE BAGAGEM - TRANSPORTE AÉREO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45 DANO MORAL - SÚMULAS - EXTRAVIO DE BAGAGEM - TRANSPORTE AÉREO "É devida indenização por dano moral sofrido pelo passageiro, em decorrência do extravio de bagagem, nos casos de transporte aéreo." REFERÊNCIA: Uniformização de Jurisprudência nº 03/2001 - Proc. 2001.146.00003, julgamento em 24/06/2002, votação unânime, Relator Des. GUSTAVO ADOLPHO KUHL LEITE, Registro do Acórdão em 26.11.02 - f. 9116/9119; Const. Fed. 1988; Reg. Int. TJRJ, art. 122. Obs.: A reparabilidade do dano moral, após divergências doutrinárias e jurisprudenciais, está consolidada no ordenamento jurídico, por expressa norma constitucional, sendo cabível sempre que houver lesão dos denominados direitos da personalidade.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2026-10-16T16:11:49.720Z</dcterms:created>
  <dcterms:modified xsi:type="dcterms:W3CDTF">2026-10-16T16:11:49.720Z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