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Relator: </w:t>
      </w:r>
      <w:r>
        <w:t xml:space="preserve">GUSTAVO ADOLPHO KUHL LEITE</w:t>
      </w:r>
    </w:p>
    <w:p/>
    <w:p>
      <w:r>
        <w:t xml:space="preserve">45. DANO MORAL — SÚMULAS - EXTRAVIO DE BAGAGEM - TRANSPORTE AÉREO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45 DANO MORAL - SÚMULAS - EXTRAVIO DE BAGAGEM - TRANSPORTE AÉREO "É devida indenização por dano moral sofrido pelo passageiro, em decorrência do extravio de bagagem, nos casos de transporte aéreo." REFERÊNCIA: Uniformização de Jurisprudência nº 03/2001 - Proc. 2001.146.00003, julgamento em 24/06/2002, votação unânime, Relator Des. GUSTAVO ADOLPHO KUHL LEITE, Registro do Acórdão em 26.11.02 - f. 9116/9119; Const. Fed. 1988; Reg. Int. TJRJ, art. 122. Obs.: A reparabilidade do dano moral, após divergências doutrinárias e jurisprudenciais, está consolidada no ordenamento jurídico, por expressa norma constitucional, sendo cabível sempre que houver lesão dos denominados direitos da personalidade.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2026-07-28T01:28:18.321Z</dcterms:created>
  <dcterms:modified xsi:type="dcterms:W3CDTF">2026-07-28T01:28:18.321Z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