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/>
    <w:p>
      <w:r>
        <w:t xml:space="preserve">57. LEI DE IMPRENSA — INDENIZAÇÃO TARIFADA - APELAÇÃO - REQUISITOS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57 LEI DE IMPRENSA - INDENIZAÇÃO TARIFADA - APELAÇÃO - REQUISITOS "Não se admite a indenização tarifada, prevista na Lei de Imprensa, dispensando-se o depósito do valor da condenação como requisito para interpor a apelação." REFERÊNCIA: Uniformização de Jurisprudência nº 08/2001 - Proc. 2001.146.00008, julgamento em 24/06/2002, votação por maioria, Relator Des. SYLVIO CAPANEMA DE SOUZA; Reg. Int. TJRJ, art. 122. Obs.: A indenização por dano moral, após a Constituição de 1988, é igual para todos, inaplicável o privilégio de limitar o valor da indenização para a empresa que explora o meio de informação e divulgação, mesmo porque a natureza da regra constitucional é mais ampla, indo além das estipulações da Lei de Imprensa. Em outras palavras, a Constituição criou um sistema geral de indenização por dano moral decorrente de violação de agasalhados direitos subjetivos privados. E, nessa medida, submeteu a indenização por dano moral ao Direito Civil comum, e não a qualquer lei especial. Não teria sentido pretender que regra constitucional nascesse limitada por lei especial anterior ou, pior ainda, que a regra constitucional autorizasse tratamento discriminatório.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2026-07-28T04:08:25.314Z</dcterms:created>
  <dcterms:modified xsi:type="dcterms:W3CDTF">2026-07-28T04:08:25.314Z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