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MEDIDA CAUTELAR DE SUSPENSÃO</w:t>
      </w:r>
    </w:p>
    <w:p/>
    <w:p>
      <w:r>
        <w:rPr>
          <w:b/>
          <w:bCs/>
        </w:rPr>
        <w:t xml:space="preserve">Recurso: </w:t>
      </w:r>
      <w:r>
        <w:t xml:space="preserve">mandado de segurança .</w:t>
      </w:r>
    </w:p>
    <w:p/>
    <w:p>
      <w:r>
        <w:t xml:space="preserve">PRAZO — FALTA DE PREVISÃO CONSTITUCIONAL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alegação de que ocorreu a decadência não pode prosperar, pois a ação de mandado de segurança é ação constitucional (cf. art. 5º, inciso LXIX) e norma infraconstitucional não pode contrariar texto constitucional. - Este é o entendimento de renomados juristas, conforme ressalta o ilustre Professor SÉRGIO FERRAZ, no seu excelente livro, Mandado de Segurança, 3ª ed.. Malheiros, p. 126, nº 19.2, que abaixo se transcreve "verbis": "Em trabalho de fundamental relevância na moderna bibliografia constitucional (II Tempo nella Costituzione, Cedam, Ed. Pádua, 1984), PAOLO GIOCOLI NACCI averba duas linhas mestras (pp.9-10), interdependentes, às quais entusiasticamente aderimos: I - Quando a Constituição não contém uma determinação temporal direta para o exercício do direito nela inserido, ou cumprimento de obrigação nela imposta, a fixação de prazo, em norma infraconstitucional, só pode ser balizadora da realização do comando, 'senza incidere sul sollen normativo-costituzionale'. Ora não há incidência maior ou mais radical sobre o sollen ('deve') de uma norma que sua própria ablação! Daí não se poder admitir que a lei ordinária fixe termos temporais dentro dos quais os direitos ou os deveres constitucionais tenham de ocorrer, se a própria Lei das Leis não faz. II - É cientificamente inadmissível a criação de tais prazos praeter constitutionem, o que significaria uma espécie de integração do texto constitucional inteiramente incompatível com o caráter rígido de nossa Constituição (tal como a italiana). Vai-se enriquecendo o elenco de juristas que começam a proclamar a inconstitucionalidade do art. 18, retomando o bastão que ilustres autores, antes referidos, haviam minoritariamente levantado, pouco após a edição da Lei nº 1.533. Destaque-se por exemplo, o Min. CARLOS MÁRIO VELLOSO, que assim já se manifestou em duas obras coletivas, sobre mandado de segurança (Mandado de Segurança, Sérgio Fabris Editor e Instituto de Advogados Brasileiros, pp 63-4; Curso de Mandado de Segurança, Ed. RT, pp. 86-8 e 95-6). A ele se aliou o saudoso SEABRA FAGUNDES, revendo anteriores posições (Mandado de Segurança, Sérgio Fabris Editor e Instituto dos Advogados Brasileiros, pp. 65-6). Nessa esteira também especial menção é devida ao trabalho de AMIR JOSÉ SARTI, O prazo preclusivo para a impetração do mandado de segurança, "in Repro"." Ac. de 03-12-2001 Revista de Direito, TJ-RJ. Janeiro a Março de 2003. Vol. 54. Pág. 113 EMENTÁRIO FORENSE. Junho, 2003. Ano LV. Nº 655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prazo de 120 (cento e vinte) dias previsto no art. 18, da Lei nº 1.533/51, decadencial, não foi recepcionado pela Constituição da República, que não prevê prazo para o ajuizamento da ação de mandado de segurança.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2026-09-11T00:26:49.244Z</dcterms:created>
  <dcterms:modified xsi:type="dcterms:W3CDTF">2026-09-11T00:26:49.244Z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