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PLANO DE ASSISTÊNCIA MÉDICA</w:t>
      </w:r>
    </w:p>
    <w:p>
      <w:r>
        <w:rPr>
          <w:i/>
          <w:iCs/>
          <w:color w:val="666666"/>
        </w:rPr>
        <w:t xml:space="preserve">DESPESAS MÉDICO-HOSPITALARES</w:t>
      </w:r>
    </w:p>
    <w:p/>
    <w:p/>
    <w:p>
      <w:r>
        <w:t xml:space="preserve">INCÊNDIO CAUSADO POR DEFEITO DO MESMO E RECONHECIDO PUBLICAMENTE — DEVER DE INDENIZAR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Examina-se, por primeiro, a matéria objeto do agravo retido reiterado pela ré, para se o desprover, entretanto. - A relação entre autor e ré, é, efetivamente, de consumo, ostentando-se desarrazoada a objeção que a esse respeito contrapõe a apelante, forte na circunstância de que, utilizando-se o autor do veículo que lhe vendera, para o transporte remunerado de pessoas, não seria, por isso, consumidor final. Data maxima venia não seria a finalidade para a qual o consumidor adquire determinado produto que o desqualificaria como tal, o que importaria em afirmar-se que somente o particular ostentaria tal qualidade. - E não é só! - Pior que isso é a asserção de que, porque não se aplicasse à hipótese o Código de Defesa do Consumidor, o autor careceria da ação !!! - À parte cumpre apenas dar os fatos, ao juiz, o direito aplicável, parêmia que a ré não pode desconhecer - "da mihi factum dabo tibi jus". - De consumo sim a relação e, inobstante isso, inaplicável à hipótese o prazo fixado no artigo 28, da Lei de Regência, referida à ação para haver abatimento do preço ou a substituição do bem, por vício oculto, como, aliás, avulta de seu artigo 27, referido à ação fundada no fato do defeito do produto, como no caso. - Com tais considerações, desprovê-se o agravo retido. - O mérito , considerada a regra do artigo 12, § 3º, da Lei nº 8.078/90, não poderia ser solvido a favor a ré. O produto fora colocado no mercado por ela; o defeito fora por ela publicamente reconhecido ao proceder ao recall com substituição da mangueira de alimentação de combustível; a culpa da vítima que, romperia o nexo causal que a lei, aprioristicamente, atribui ao fornecedor, não logrou provar, de modo que a ação procedia mesmo, malgrado o uso do gás natural no momento em que ocorreu o incêndio, na medida em que, mesmo assim, a mangueira de combustível defeituosa lá estava, propiciando o vazamento de que se queixara o autor. - Houve dano moral sim: imagine-se, como o autor, que vive de seu veículo e que, como cada um de nós, tem seus compromissos a honrar, se sentira ao perder seu instrumento de trabalho ... - Se isso não gera apreensão, angústia, sofrimento interno, o quê, para a ré, os causaria? - O "quantum" foi bem dosado, considerado seu duplo escopo, quais os de compensar apenas - reparar não o conseguiria - e o de punir, para estimular condutas e procedimento destinados a impedir sua repetição, de modo que me parece razoável e proporcional o montante fixado que, entretanto, cobra pequeno reparo para o fim de desvinculá-lo do salário mínimo, de modo a que a indenização corresponda ao equivalente a 100 unidades do mesmo, vigentes ao tempo da sentença, e corrigida, daí em diante, pelos índices do INPC, acrescidos de juros de mora de 0,5% ao mês, desde a citação. - Ampla a contestação ao "quantum" indenizatório, dá-se parcial provimento para o fim único de desvincular a verba indenizatória do salário mínimo, como acima mencionado. Ac. de 13-11-2001 Revista de Direito, TJ-RJ. Janeiro a Março de 2003. Vol. 54. Pág. 190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Fundando-se a ação no fato do defeito do produto, a regra aplicável é a do artigo 27, da respectiva lei de regência, não a de seu artigo 26, que fixa prazo para ação com vistas ao abatimento do preço ou troca do produto, por vício oculto. - Incidindo, no caso, a regra do § 3º, do artigo 122, do CDC, a sentença de procedência se ostentava inevitável quando, colocado pela ré no mercado o produto, reconheceu ela publicamente, seu defeito, ao proceder ao "recall", sem se desincumbir, como lhe cumpria, da prova a respeito do rompimento do nexo causal, por culpa exclusiva do consumidor.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2026-07-28T00:32:23.333Z</dcterms:created>
  <dcterms:modified xsi:type="dcterms:W3CDTF">2026-07-28T00:32:23.333Z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