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INTERDITO PROIBITÓRIO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Recurso: </w:t>
      </w:r>
      <w:r>
        <w:t xml:space="preserve">agravo de instrumento 97.643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"DIES A QUO" PARA SUA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Revelam os autos que a recorrida explorava, nas dependências do clube dos Caiçaras, ora recorrente, os serviços de bar e restaurante, por contrato já findo e que se prorrogara por prazo indeterminado. - Não mais convindo ao Clube sua continuação, notificou a recorrida, dando o mesmo por findo e concedendo-lhe prazo de 90 dias para desocupação. - A recorrida ajuizou, então interdito proibitório, obtendo a medida liminar, propondo o Clube recorrente ação de reintegração de posse, não logrando este, contudo a liminar pleiteada. - Impetrou, então, o recorrente dois mandados de segurança ao E. Tribunal de Alçada Cível: um, para que cassada fosse a liminar no interdito e, outro, para que lhe fosse deferida liminar para se reintegrar na posse daquelas dependências. - Obteve êxito em ambos os pedidos e foi reintegrado na posse que lhe pertencia aos 27.12.91, como provado nos autos. - A sentença julgou procedente o interdito nos termos do pedido e improcedente a reintegratória. - Em 24 de fevereiro de 1994 foi iniciada a execução remetendo-se ao autos ao Contador para cálculos da multa de Cr$ 500.000,00 diários, a partir da citação, contra o que se insurgiu o Clube, pois, não tendo caráter indenizatório, mas, sim, coercitivo (ASTREINTES), não poderia ser cobrada senão a partir da notificação para a entrega de coisas, dentro do prazo que fosse assinado. - Assim, todavia, não o entendeu o E. Tribunal de Alçada Cível, ao decidir que "a multa diária incide enquanto durar a turbação", ou, como afirmado em embargos declaratórios "a multa por óbvio, começa a vigorar no dia em que a autora foi i njustamente demitida da posse e até que venha nele se reintegrar, o que até hoje não ocorreu". - Sustenta o recorrente que a recorrida não manifestou desejo de reintegrar na posse das dependências que ocupava no Clube e não foi dela injustamente demitida, pois o Clube se reintegrou por decisão judicial. - Daí a interposição de dois recursos especiais: o primeiro, inadmitido e desprovido o agravo de instrumento nº 97.643, relator o Sr. Ministro Carlos Alberto Menezes Direito, porque a multa fora admitida pelo valor constante do pedido inicial e o segundo também, inadmitido, mas que valor constante do pedido inicial e segundo também, inadmitido, mas que ensejou provimento ao agravo de instrumento 97.644, resultante nesta Especial, porque o que se discutia era "a legalidade da decisão que fixara dia "a quo" para incidência da multa, em ação de interdito proibitório". - Afirma-se não discutir, no Recurso, o valor da multa. A matéria posta em julgamento diz respeito ao marco inicial para sua cobrança, pois a recorrida não manifestou desejo de retomar a posse das dependências do Clube, tendo-se como certo cuidar da hipótese da aplicação de ASTREINTES. - Mesmo sendo o ultimo a proferir, voto solicite a vista dos autos para verificar se a decisão exeqüenda, tratando-se de obrigação de fazer estabelecera o dia "a quo" para incidência da multa no caso de inexecução em face de memorial recebido do recorrente que assevera issentir o julgado recorrido de paradigmas colacionados, dentre os quais, em especial um desta Colenda Terceira Turma relator Sr. Ministro Eduardo Ribeiro e outro da Colenda Quarta Turma relatoria do Sr. Ministro Sálvio de Figueiredo Teixeira (fls.) - No ponto assim votou o eminente Sr Ministro Menezes Direito: "A interpretação divergente aos arts. 287, 632, 644 e 645 do Código de Processo Civil, está amparada na alegação de que a fixação da multa a partir da data em que a recorrida foi demitida da posse afronta precedentes que entendem ser "astreintes" não uma punição, mas, sim, meio o cumprimento do julgado. No caso como visto, cuida-se de interdito proibitório, que tem na sua essência a pena pecuniária. Como mostra ADROALDO FABRÍCIO FURTADO, o "pagamento da pena pecuniária cominada torna-se devido pela fato mesmo da infração do preceito. Se a turbação ou esbulho sobrevém no curso do processo, cabe mandado de manutenção ou reintegração de posse", sendo que incumbe ao autor o "ônus da prova da transgressão, seja para pedir a expedição de mandado de reintegração ou de manutenção seja para exigir o pagamento da pena pecuniária anteriormente cominada" (Comentários Forense, Rio, Vol. VIII, pág. 465). O Acórdão assevera que a data em que a recorrida foi demitira da posse é conhecida, com o que entendeu o provado o fato gerador do interdito. Por outro lado, a sentença e o Acórdão que a restabeleceu consideraram o valor da multa para o perí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multa foi imposta na forma de pena pecuniária, não como punição, mas como meio para o cumprimento da decisão, atua ela como "astreinte". - Fixação do "dies a quo" para a incidência da multa a partir da citação do devedor para o cumprimento da obrigação de fazer.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2026-10-26T05:35:49.113Z</dcterms:created>
  <dcterms:modified xsi:type="dcterms:W3CDTF">2026-10-26T05:35:49.113Z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