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/>
    <w:p>
      <w:r>
        <w:t xml:space="preserve">DECRETO-LEI 427/1969 QUE INSTITUIU O REGISTRO NAS REPARTIÇÕES FISCAIS — SE A REVOGA OU SE IMPORTA EM DENÚNCIA DO TRATADO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 Convenção de Genebra que previu uma lei uniforme sobre letras de câmbio e notas promissórias tenha aplicabilidade no direito interno brasileiro, não se sobrepõe ela às leis do País, disso decorrendo a constitucionalidade e conseqüente validade do Decreto-lei nº 427/1969, que instituiu o registro obrigatório da Nota Promissória em Repartição Fazendária, sob pena de nulidade do título. V. o t. CAMBIAL, st. REGISTRO EMENTÁRIO FORENSE. Novembro, 1978. Ano XXX. Nº 360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2026-07-28T00:08:38.835Z</dcterms:created>
  <dcterms:modified xsi:type="dcterms:W3CDTF">2026-07-28T00:08:38.835Z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