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CULPA OU DOLO DA VÍTIMA</w:t>
      </w:r>
    </w:p>
    <w:p/>
    <w:p/>
    <w:p>
      <w:r>
        <w:t xml:space="preserve">PRINCÍPIO DA SUCUMBÊNCIA — CASO EM QUE O RÉU NÃO DEU CAUSA À AÇÃO - COMO SE RESOLVE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o reconhecimento da boa fé e a indispensabilidade da via judicial para pronunciamento da nulidade do casamento levam ao rateio das custas e à compensação dos honorários, advocatícios, desde que - na observação, sempre lembrada, de LOPES DA COSTA - suporta os ônus da sucumbência na ação o que a esta houver dado causa. Se a demanda não podia deixar de ser ajuizada e se a ré não concorreu para o vício do ato jurídico, não há como carrear as despesas do processo a uma só das litigantes. V. o t. PREVIDÊNCIA SOCIAL, st. ANULAÇÃO DE CASAMENTO EMENTÁRIO FORENSE. Novembro, 1978. Ano XXX. Nº 360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2026-07-28T00:51:03.516Z</dcterms:created>
  <dcterms:modified xsi:type="dcterms:W3CDTF">2026-07-28T00:51:03.516Z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