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OU DOLO DA VÍTIMA</w:t>
      </w:r>
    </w:p>
    <w:p/>
    <w:p/>
    <w:p>
      <w:r>
        <w:t xml:space="preserve">PRINCÍPIO DA SUCUMBÊNCIA — CASO EM QUE O RÉU NÃO DEU CAUSA À AÇÃO - COMO SE RESOLVE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o reconhecimento da boa fé e a indispensabilidade da via judicial para pronunciamento da nulidade do casamento levam ao rateio das custas e à compensação dos honorários, advocatícios, desde que - na observação, sempre lembrada, de LOPES DA COSTA - suporta os ônus da sucumbência na ação o que a esta houver dado causa. Se a demanda não podia deixar de ser ajuizada e se a ré não concorreu para o vício do ato jurídico, não há como carrear as despesas do processo a uma só das litigantes. V. o t. PREVIDÊNCIA SOCIAL, st. ANULAÇÃO DE CASAMENTO EMENTÁRIO FORENSE. Novembro, 1978. Ano XXX. Nº 360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2026-10-26T02:25:34.811Z</dcterms:created>
  <dcterms:modified xsi:type="dcterms:W3CDTF">2026-10-26T02:25:34.811Z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