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DO BEM</w:t>
      </w:r>
    </w:p>
    <w:p/>
    <w:p>
      <w:r>
        <w:rPr>
          <w:b/>
          <w:bCs/>
        </w:rPr>
        <w:t xml:space="preserve">Julgado em: </w:t>
      </w:r>
      <w:r>
        <w:t xml:space="preserve">21/06/1977</w:t>
      </w:r>
    </w:p>
    <w:p/>
    <w:p>
      <w:r>
        <w:t xml:space="preserve">ATO QUE CONTRARIA  O SEU CONTRATO — INEFICÁCIA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Pretende o embargante o reconhecimento da ineficácia do aval prestado em seu nome por um dos sócios, com proibição do contrato e da lei e o cancelamento do protesto. - O recurso deve, "data venia" prosperar. - A cláusula 4ª do contrato social dispôs expressamente que queria vedado o uso da firma social - "...em negócios ou obrigações estranhas aos objetivos sociais, tais como: endossos avais,..." princípios já contido no art. 316 do Cód. Comercial . - O contrato social foi registrado no Departamento Nacional do Registro do Comércio para valer contra terceiros, de modo que o embargado não pode invocar ignorância da cláusula para sustentar a validade do aval. - É a lição de PONTES DE MIRANDA, acolhida em vários julgados (tratado de D. Privado, 49, pág 107, § 5.183. nº 6; Rev. Jur. deste E. Tribunal, 24/223 e 27/427; agravos 22.652 e 23.998; Rev. de Direito, 94/330) - A adoção de opinião contrária importaria "data venia", na destruição do valor publicitário do registro, que se tornaria inócuo (PONTES, obra cit., pág. 108). - Ademais, no caso, o banco não pode sequer ser considerado terceiro de boa fé, pois todos os estabelecimentos de crédito têm o cadastro dos clientes não contratando com eles sem averiguar a situação pessoal e jurídica de cada obrigado. - Entendeu, por isso, o E. Quarto grupo prover os embargos, com as penas da sucumbência. Julgado em 22-06-1977 VENCIDO O DESEMBARGADOR ABEYLARD GOMES Arquivo do Ementário Forense, TJ/196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ineficaz o aval prestado por sócio, com proibição do contrato social.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2026-10-26T02:37:13.823Z</dcterms:created>
  <dcterms:modified xsi:type="dcterms:W3CDTF">2026-10-26T02:37:13.823Z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