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ADHEMAR MACIEL</w:t>
      </w:r>
    </w:p>
    <w:p>
      <w:r>
        <w:rPr>
          <w:b/>
          <w:bCs/>
        </w:rPr>
        <w:t xml:space="preserve">Julgado em: </w:t>
      </w:r>
      <w:r>
        <w:t xml:space="preserve">16/02/1992</w:t>
      </w:r>
    </w:p>
    <w:p/>
    <w:p>
      <w:r>
        <w:t xml:space="preserve">QUESTÕES RELATIVAS AO ANTIGO REGIME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 vem decidindo esta 3ª Seção: "Ementa: "Constitucional e Processual Civil. Conflito de Competência. Reclamação Trabalhista ajuizada por servidores atualmente regidos pelo Estatuto (Lei nº 8.112/90). Competência da Justiça Especializada. I - A competência in casu se firma ratione materiae (CF, art. 114, caput), não obstante serem os reclamantes, no momento, servidores da União Federal. A causa petendi e o petitum dizem respeito à lide trabalhista, por vantagens advindas antes da implantação do Estatuto (Lei nº 8.112/90). Precedentes do STJ. II - Competência do Juízo Trabalhista (suscitado). (CC nº 3.882/92, julgado em 17-2-92, Rel. Min. ADHEMAR MACIEL - DJ 8-3-93). Ementa: "Competência. Servidor autárquico. Relação celetista. I - Sendo os direitos reclamados nitidamente trabalhistas, a competência é da Justiça do trabalho. II - Conflito conhecido; competência do suscitado" (CC nº 4.947-RJ, julgado em 02-09-93, Rel. Min. EDSON VIDIGAL, DJ 20-09-93). - Com base nestes precedentes, conheço do conflito e declaro a competência do juízo laboral, ora suscitado, para processar e julgar o feito. Ac. de 11-11-1993 Rev. do Sup. Tribunal de Justiça - Abril de 1994 - Nº 56 - Pág. 42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autos revelam que a autora, à época, estava vinculada, ao poder público através de contrato trabalhista. O fato de ter-se transferido para o regime estatutário, da Lei nº 8.112/90, não a afasta do juízo competente a seu tempo. (Ementa 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2026-07-28T02:07:24.129Z</dcterms:created>
  <dcterms:modified xsi:type="dcterms:W3CDTF">2026-07-28T02:07:24.129Z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