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p>
      <w:r>
        <w:t xml:space="preserve">01. LEI DAS PATENTES — DIREITOS E OBRIGAÇÕES - REGULAMENTA</w:t>
      </w:r>
    </w:p>
    <w:p/>
    <w:p>
      <w:pPr>
        <w:pStyle w:val="Heading2"/>
      </w:pPr>
      <w:r>
        <w:rPr>
          <w:b/>
          <w:bCs/>
        </w:rPr>
        <w:t xml:space="preserve">Ementa</w:t>
      </w:r>
    </w:p>
    <w:p>
      <w:r>
        <w:t xml:space="preserve">LEI Nº 9.279, DE 14 DE MAIO DE 1996 Regula direitos e obrigações relativos à propriedade industrial. O PRESIDENTE DA REPÚBLICA, Faço saber que o Congresso Nacional decreta e eu sanciono a seguinte Lei: DISPOSIÇÕES PRELIMINARES Art. 1º Esta Lei regula direitos e obrigações relativos à propriedade industrial. Art. 2º A proteção dos direitos relativos à propriedade industrial, considerado o seu interesse social e o desenvolvimento tecnológico e econômico do País, efetua-se mediante: I - concessão de patentes de invenção e de modelo de utilidade; II - concessão de registro de desenho industrial; III - concessão de registro de marca; IV - repressão às falsas indicações geográficas; e V - repressão à concorrência desleal. Art. 3º Aplica-se também o disposto nesta Lei: I - ao pedido de patente ou de registro proveniente do exterior e depositado no País por quem tenha proteção assegurada por tratado ou convenção em vigor no Brasil; e II - aos nacionais ou pessoas domiciliadas em país que assegure aos brasileiros ou pessoas domiciliadas no Brasil a reciprocidade de direitos iguais ou equivalentes. Art. 4º As disposições dos tratados em vigor no Brasil são aplicáveis, em igualdade de condições, às pessoas físicas e jurídicas nacionais ou domiciliadas no País. Art. 5º Consideram-se bens móveis, para os efeitos legais, os direitos de propriedade industrial. TÍTULO I DAS PATENTES CAPÍTULO I DA TITULARIDADE Art. 6º Ao autor de invenção ou modelo de utilidade será assegurado o direito de obter a patente que lhe garanta a propriedade, nas condições estabelecidas nesta Lei. § 1º Salvo prova em contrário, presume-se o requerente legitimado a obter a patente. § 2º A patente poderá ser requerida em nome próprio, pelos herdeiros ou sucessores do autor, pelo cessionário ou por aquele a quem a lei ou o contrato de trabalho ou de pres tação de serviços determinar que pertença a titularidade. § 3º Quando se tratar de invenção ou de modelo de utilidade realizado conjuntamente por duas ou mais pessoas, a patente poderá ser requerida por todas ou qualquer delas, mediante nomeação e qualificação das demais, para ressalva dos respectivos direitos. § 4º O inventor será nomeado e qualificado, podendo requerer a não divulgação de sua nomeação. Art. 7º Se dois ou mais autores tiverem realizado a mesma invenção ou modelo de utilidade, de forma independente, o direito de obter patente será assegurado àquele que provar o depósito mais antigo, independentemente das datas de invenção ou criação. Parágrafo único. A retirada de depósito anterior sem produção de qualquer efeito dará prioridade ao depósito imediatamente posterior. CAPÍTULO II DA PATENTEABILIDADE SEÇÃO I DAS INVENÇÕES E DOS MODELOS DE UTILIDADE PATENTEÁVEIS Art. 8º É patenteável a invenção que atenda aos requisitos de novidade, atividade inventiva e aplicação industrial. Art. 9º É patenteável como modelo de utilidade o objeto de uso prático, ou parte deste, suscetível de aplicação industrial, que apresente nova forma ou disposição, envolvendo ato inventivo, que resulte em melhoria funcional no seu uso ou em sua fabricação. Art. 10. Não se considera invenção nem modelo de utilidade: I - descobertas, teorias científicas e métodos matemáticos; II - concepções puramente abstratas; III - esquemas, planos, princípios ou métodos comerciais, contábeis, financeiros, educativos, publicitários, de sorteio e de fiscalização; IV - as obras literárias, arquitetônicas, artísticas e científicas ou qualquer criação estética; V - programas de computador em si; VI - apresentação de informações; VII - regras de jogo; VIII - técnicas e métodos operatórios ou cirúrgicos, bem como métodos terapêuticos ou de diagnóstico, para aplicação no corpo humano ou animal; e IX - o todo ou parte de seres vivos naturais e materiais biológicos encontrados na natureza, ou ainda que dela isolados, inclusive o genoma ou germoplasma de qualquer ser vivo natural e os processos biológicos naturais. Art. 11. A invenção e o modelo de utilidade são considerados novos quando não compreendidos no estado da técnica. § 1º O estado da técnica é constituído por tudo aquilo tornado acessível ao público antes da data de depósito do pedido de patente, por descrição escrita ou oral, por uso ou qualquer outro meio, no Brasil ou no exterior, ressalvado o disposto nos arts. 12, 16 e 17. § 2º Para fins de aferição da novidade, o conteúdo completo de pedido depositado no Brasil, e ainda não publicado, será considerado estado da técnica a partir da data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2026-10-26T02:17:13.926Z</dcterms:created>
  <dcterms:modified xsi:type="dcterms:W3CDTF">2026-10-26T02:17:13.926Z</dcterms:modified>
</cp:coreProperties>
</file>

<file path=docProps/custom.xml><?xml version="1.0" encoding="utf-8"?>
<Properties xmlns="http://schemas.openxmlformats.org/officeDocument/2006/custom-properties" xmlns:vt="http://schemas.openxmlformats.org/officeDocument/2006/docPropsVTypes"/>
</file>