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PROPR INDUSTRIAL</w:t>
      </w:r>
    </w:p>
    <w:p>
      <w:r>
        <w:rPr>
          <w:i/>
          <w:iCs/>
          <w:color w:val="666666"/>
        </w:rPr>
        <w:t xml:space="preserve">VIOLAÇÃO DE PATENTE</w:t>
      </w:r>
    </w:p>
    <w:p/>
    <w:p>
      <w:r>
        <w:rPr>
          <w:b/>
          <w:bCs/>
        </w:rPr>
        <w:t xml:space="preserve">Recurso: </w:t>
      </w:r>
      <w:r>
        <w:t xml:space="preserve">re -</w:t>
      </w:r>
    </w:p>
    <w:p/>
    <w:p>
      <w:r>
        <w:t xml:space="preserve">03. LEI DAS PATENTES — DIREITOS E OBRIGAÇÕES - REGULAMENTA</w:t>
      </w:r>
    </w:p>
    <w:p/>
    <w:p>
      <w:pPr>
        <w:pStyle w:val="Heading2"/>
      </w:pPr>
      <w:r>
        <w:rPr>
          <w:b/>
          <w:bCs/>
        </w:rPr>
        <w:t xml:space="preserve">Ementa</w:t>
      </w:r>
    </w:p>
    <w:p>
      <w:r>
        <w:t xml:space="preserve">SEÇÃO III DA AÇÃO DE NULIDADE Art. 118. Aplicam-se à ação de nulidade de registro de desenho industrial, no que couber, as disposições dos arts. 56 e 57. CAPÍTULO VIII DA EXTINÇÃO DO REGISTRO Art. 119. O registro extingue-se: I - pela expiração do prazo de vigência; II - pela renúncia de seu titular, ressalvado o direito de terceiros; III - pela falta de pagamento da retribuição prevista nos arts. 108 e 120; ou IV - pela inobservância do disposto no art. 217. CAPÍTULO IX DA RETRIBUIÇÃO QÜINQÜENAL Art. 120. O titular do registro está sujeito ao pagamento de retribuição qüinqüenal, a partir do segundo qüinqüênio da data do depósito. § 1º O pagamento do segundo qüinqüênio será feito durante o 5º (quinto) ano da vigência do registro. § 2º O pagamento dos demais qüinqüênios será apresentado junto com o pedido de prorrogação a que se refere o art. 108. § 3º O pagamento dos qüinqüênios poderá ainda ser efetuado dentro dos 6 (seis) meses subseqüentes ao prazo estabelecido no parágrafo anterior, mediante pagamento de retribuição adicional. CAPÍTULO X DAS DISPOSIÇÕES FINAIS Art. 121. As disposições dos arts. 58 a 63 aplicam-se, no que couber, à matéria de que trata o presente Título, disciplinando-se o direito do empregado ou prestador de serviços pelas disposições dos arts. 88 a 93. TÍTULO III DAS MARCAS CAPÍTULO I DA REGISTRABILIDADE SEÇÃO I DOS SINAIS REGISTRÁVEIS COMO MARCA Art. 122. São suscetíveis de registro como marca os sinais distintivos visualmente perceptíveis, não compreendidos nas proibições legais. Art. 123. Para os efeitos desta Lei, considera-se: I - marca de produto ou serviço: aquela usada para distinguir produto ou serviço de outro idêntico, semelhante ou afim, de origem diversa; II - marca de certificação: aquela usada para atestar a conformidade de um produto ou se rviço com determinadas normas ou especificações técnicas, notadamente quanto à qualidade, natureza, material utilizado e metodologia empregada; e III - marca coletiva: aquela usada para identificar produtos ou serviços provindos de membros de uma determinada entidade. SEÇÃO II DOS SINAIS NÃO REGISTRÁVEIS COMO MARCA Art. 124. Não são registráveis como marca: I - brasão, armas, medalha, bandeira, emblema, distintivo e monumento oficiais, públicos, nacionais, estrangeiros ou internacionais, bem como a respectiva designação, figura ou imitação; II - letra, algarismo e data, isoladamente, salvo quando revestidos de suficiente forma distintiva; III - expressão, figura, desenho ou qualquer outro sinal contrário à moral e aos bons costumes ou que ofenda a honra ou imagem de pessoas ou atente contra liberdade de consciência, crença, culto religioso ou idéia e sentimento dignos de respeito e veneração; IV - designação ou sigla de entidade ou órgão público, quando não requerido o registro pela própria entidade ou órgão público; V - reprodução ou imitação de elemento característico ou diferenciador de título de estabelecimento ou nome de empresa de terceiros, suscetível de causar confusão ou associação com estes sinais distintivos; VI - sinal de caráter genérico, necessário, comum, vulgar ou simplesmente descritivo, quando tiver relação com o produto ou serviço a distinguir, ou aquele empregado comumente para designar uma característica do produto ou serviço, quanto à natureza, nacionalidade, peso, valor, qualidade e época de produção ou de prestação do serviço, salvo quando revestidos de suficiente forma distintiva; VII - sinal ou expressão empregada apenas como meio de propaganda; VIII - cores e suas denominações, salvo se dispostas ou combinadas de modo peculiar e distintivo; IX - indicação geográfica, sua imitação suscetível de causar confusão ou sinal que possa falsamente induzir indicação geográfica; X - sinal que induza a fa lsa indicação quanto à origem, procedência, natureza, qualidade ou utilidade do produto ou serviço a que a marca se destina; XI - reprodução ou imitação de cunho oficial, regularmente adotada para garantia de padrão de qualquer gênero ou natureza; XII - reprodução ou imitação de sinal que tenha sido registrado como marca coletiva ou de certificação por terceiro, observado o disposto no art. 154; XIII - nome, prêmio ou símbolo de evento esportivo, artístico, cultural, social, político, econômico ou técnico, oficial ou oficialmente reconhecido, bem como a imitação suscetível de criar confusão, salvo quando autorizados pela autoridade competente ou entidade promotora do evento; XIV - reprodução ou imitação de título, apólice, moeda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2026-07-27T23:16:18.594Z</dcterms:created>
  <dcterms:modified xsi:type="dcterms:W3CDTF">2026-07-27T23:16:18.594Z</dcterms:modified>
</cp:coreProperties>
</file>

<file path=docProps/custom.xml><?xml version="1.0" encoding="utf-8"?>
<Properties xmlns="http://schemas.openxmlformats.org/officeDocument/2006/custom-properties" xmlns:vt="http://schemas.openxmlformats.org/officeDocument/2006/docPropsVTypes"/>
</file>