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CONSELHO REGIONAL DE CORRETORES</w:t>
      </w:r>
    </w:p>
    <w:p/>
    <w:p>
      <w:r>
        <w:rPr>
          <w:b/>
          <w:bCs/>
        </w:rPr>
        <w:t xml:space="preserve">Julgado em: </w:t>
      </w:r>
      <w:r>
        <w:t xml:space="preserve">02/10/1978</w:t>
      </w:r>
    </w:p>
    <w:p/>
    <w:p>
      <w:r>
        <w:t xml:space="preserve">DECURSO DE CINCO ANOS — COMO DEVE SER CONTADO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SENTENÇA - Está documentalmente provado, em coisa julgada formal..., que a SEPARAÇÃO DE FATO ocorreu em 7 de agosto de 1972, conforme assoalhado na inicial e confirmado nos autos. - O art. 2º da Emenda Constitucional, nº 9, dispõe que a separação de fato para dissolução do casamento, "devidamente comprovada em Juízo e pelo prazo de cinco anos, se for ANTERIOR À DATA DESTA EMENDA". - A dita emenda nº 9 foi expedida em 28 de junho de 1977, o que faz recuar a condição resolutiva da situação de fato para o dia 28 de junho de 1972. - Ora, nessa data, que é o termo "ad quem" da Emenda Constitucional permissível à dissolução do matrimônio, conforme lido o trelido nestes autos, os litigantes viviam em comum, somente em data subseqüente o autor resolveu abandonar o lar conjugal. - Pelo exposto, a ação é julgada IMPROCEDENTE e condenado o autor nas despesas judiciais e verba honorária de 10% do valor da causa, devido à simplicidade do fato. Julgado em 03-10-1978 Arquivo do Ementário Forense. TJ/742 EMENTÁRIO FORENSE. Agosto, 1979. Ano XXX.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separação de fato que autoriza o divórcio pelo decurso de cinco anos, deve existir com início anterior a 28 de Junho de 1977 (Emenda Constitucional nº 9, art. 2º, e Lei nº 6.515/977, art. 40).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2026-10-26T02:25:34.537Z</dcterms:created>
  <dcterms:modified xsi:type="dcterms:W3CDTF">2026-10-26T02:25:34.537Z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