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CONSELHO REGIONAL DE CORRETORES</w:t>
      </w:r>
    </w:p>
    <w:p/>
    <w:p>
      <w:r>
        <w:rPr>
          <w:b/>
          <w:bCs/>
        </w:rPr>
        <w:t xml:space="preserve">Julgado em: </w:t>
      </w:r>
      <w:r>
        <w:t xml:space="preserve">21/05/1978</w:t>
      </w:r>
    </w:p>
    <w:p/>
    <w:p>
      <w:r>
        <w:t xml:space="preserve">INCIDÊNCIA DE DESQUITE AMIGÁVEL RECENTE — SE A INUTILIZA COMO CAUSA DO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 GERAL DA JUSTIÇA (ADOTADO PELO ACÓRDÃO) - ... A requerida distribuição da ação, por dependência aos autos de desquite judicial das partes e homologado por esse r. Juízo (...) se deveu ao escopo de trazer o A. apenas prova emprestada aos pressupostos da ação, posto que firmada iniludivelmente, em separação de fato. - A matéria de fato confessada emoldurada a hoje permissível dissolução da sociedade conjugal, diante da E. C. nº 9, de 28 de junho de 1977, segundo a forma recomendada pela Lei nº 6.515 de 25 de dezembro de 1977. O art. 315 da lei substantiva civil está modificada. - Ora, sobre existir prova sobeja de separação de fato há mais de 5 (cinco) anos decorrente de ação que se disse distribuída a esse douto Juízo, ademais, o Autor se propôs a provar o alegado pelos meios admissíveis. - O fato de estar também presente no pólo ativo da ação uma outra condição cogitada na Lei, ao nosso ver, não desvia e nem elimina a possibilidade do "desideratum" vir alcançado pela via eleita com espeque na separação de fato - ruptura da vida em comum há mais de cinco anos consecutivos - mormente, se exsurge a impossibilidade de sua reconstituição, como se deduz da contestação. - Ante o exposto merece anulada a r. decisão afim de que se permita ao interessado produzir as provas a que se propôs tanto prevê a Lei 6.515/77, no caso de separação de fato, o procedimento ordinário (art. 40, § 3º). - Dado provimento ao recurso. Julgado em 22-05-1978 Arquivo do Ementário Forense. TJ/738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desquite amigável recente não torna inócua a separação de fato anterior, por longos anos, separação que constitui causa para a decretação do divórcio instituído pela Lei 6.515, de 22-12-1977.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2026-10-26T02:23:49.151Z</dcterms:created>
  <dcterms:modified xsi:type="dcterms:W3CDTF">2026-10-26T02:23:49.151Z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