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01/09/1977</w:t>
      </w:r>
    </w:p>
    <w:p/>
    <w:p>
      <w:r>
        <w:t xml:space="preserve">PRINCÍPIO DE QUE A LEI DO RECURSO É A CONTEMPORÂNEA À DA SENTENÇA — PREVALÊNCIA SOBRE ELE DA NORMA CONSTITUCIONAL CUJA VIGÊNCIA É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 extraordinário, de conformidade com o parecer do Subprocurador Geral da República, Douto ANTÔNIO TORREÃO BRAZ, cujos fundamentos adoto. - Acrescento que, quando a Constituição Federal de 1967, extinguiu o recurso ordinário em mandado de segurança, o Supremo Tribunal passou a não conhecer dos que haviam sido interpostos na vigência da anterior norma constitucional permissiva. Afastou o princípio de direito intertemporal de que a lei do recurso é a contemporânea à sentença em face de regra constitucional ter incidência imediata. Ressalvou, é verdade, a possibilidade de o recorrente requerer a conversão do recurso ordinário no extraordinário, se configurados os pressupostos deste. Essa possibilidade inocorre na espécie, visto que o recurso interposto e posteriormente extinto seria o derradeiro. - Ante o exposto, dele não conheço. Julgado em 02-09-1977 Revista Trimestral de Jurisprudência. Janeiro, 1978 - Vol. 83 - Pág. 92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recurso extraordinário em causa de alçada, fica afastado o princípio de direito inter-temporal de que a lei do recurso é a contemporânea à sentença, face à incidência imediata da norma constitucional.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2026-07-27T23:54:27.032Z</dcterms:created>
  <dcterms:modified xsi:type="dcterms:W3CDTF">2026-07-27T23:54:27.032Z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