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01/09/1977</w:t>
      </w:r>
    </w:p>
    <w:p/>
    <w:p>
      <w:r>
        <w:t xml:space="preserve">PRINCÍPIO DE QUE A LEI DO RECURSO É A CONTEMPORÂNEA À DA SENTENÇA — PREVALÊNCIA SOBRE ELE DA NORMA CONSTITUCIONAL CUJA VIGÊNCIA É IMEDIATA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 extraordinário, de conformidade com o parecer do Subprocurador Geral da República, Douto ANTÔNIO TORREÃO BRAZ, cujos fundamentos adoto. - Acrescento que, quando a Constituição Federal de 1967, extinguiu o recurso ordinário em mandado de segurança, o Supremo Tribunal passou a não conhecer dos que haviam sido interpostos na vigência da anterior norma constitucional permissiva. Afastou o princípio de direito intertemporal de que a lei do recurso é a contemporânea à sentença em face de regra constitucional ter incidência imediata. Ressalvou, é verdade, a possibilidade de o recorrente requerer a conversão do recurso ordinário no extraordinário, se configurados os pressupostos deste. Essa possibilidade inocorre na espécie, visto que o recurso interposto e posteriormente extinto seria o derradeiro. - Ante o exposto, dele não conheço. Julgado em 02-09-1977 Revista Trimestral de Jurisprudência. Janeiro, 1978 - Vol. 83 - Pág. 92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recurso extraordinário em causa de alçada, fica afastado o princípio de direito inter-temporal de que a lei do recurso é a contemporânea à sentença, face à incidência imediata da norma constitucional.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2026-10-26T02:34:15.059Z</dcterms:created>
  <dcterms:modified xsi:type="dcterms:W3CDTF">2026-10-26T02:34:15.059Z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