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COMPRA E VENDA</w:t>
      </w:r>
    </w:p>
    <w:p>
      <w:r>
        <w:rPr>
          <w:i/>
          <w:iCs/>
          <w:color w:val="666666"/>
        </w:rPr>
        <w:t xml:space="preserve">TERRENO CUMULADO A FRAÇÃO IDEAL</w:t>
      </w:r>
    </w:p>
    <w:p/>
    <w:p>
      <w:r>
        <w:rPr>
          <w:b/>
          <w:bCs/>
        </w:rPr>
        <w:t xml:space="preserve">Recurso: </w:t>
      </w:r>
      <w:r>
        <w:t xml:space="preserve">RE 80.490</w:t>
      </w:r>
    </w:p>
    <w:p>
      <w:r>
        <w:rPr>
          <w:b/>
          <w:bCs/>
        </w:rPr>
        <w:t xml:space="preserve">Julgado em: </w:t>
      </w:r>
      <w:r>
        <w:t xml:space="preserve">05/09/1977</w:t>
      </w:r>
    </w:p>
    <w:p/>
    <w:p>
      <w:r>
        <w:t xml:space="preserve">PURGAÇÃO NO PRAZO DA CONTESTAÇÃO DA AÇÃO DE RESCISÃO — SE A IMPEDE A NOTIFICAÇÃO PRÉVIA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Procurador WALTER JOSÉ DE MEDEIROS, a Procuradoria-Geral da República assim se manifestou sobre o caso: "Cinge-se a "quaestio juris" à indagação sobre a admissibilidade, ou não, da emenda da mora no prazo da contestação da ação resolutória, que teve a precedê-la prévia interpelação para constituir o devedor em mora." - Entendeu, e bem, a nosso ver, a douta decisão impugnada, que, no caso, tratando-se de compromisso de venda não inscrito e relativo a imóvel não loteado, a mora se dava "ex re", na conformidade do art. 960 do Código Civil, ante o simples inadimplemento da obrigação, positiva e líquida, no seu termo. - Diz, com efeito, o referido dispositivo legal: "O inadimplemento da obrigação, positiva e líquida, no seu termo, constitui de pleno direito em mora o devedor. "Não havendo prazo assinado, começa ela desde a interpelação, notificação, ou protesto." - Ora, no "sub judice", havia termo certo fixado para cumprindo da obrigação contraída, vencido o qual o devedor não honrou o compromisso assumido. Estaria, por conseguinte, constituído "pleno jure" em mora, a partir do vencimento da obrigação. Tratava-se, nada mais, nada menos, de aplicar a regra consubstanciada no brocardo latino: "Dies interpellat pro homine". O credor, contudo, ensejando novas oportunidades ao devedor de pagar o débito em atraso, fê-lo interpelar, não uma, mas duas vezes, antes de contra ele propor a respectiva ação de rescisão contratual. A nenhum dos dois chamamentos atendeu o interpelado, preferindo ignorar a convocação amigavelmente feita. - No prazo da contestação, confessando a dívida, requereu o réu a "emendatio morae", deferida pelo juiz singular, mas cassada pelo tribunal "a quo". - Certo, ao nosso parecer, este úl timo veredito, pois nada autoriza na lei a conclusão de, feita a interpelação por ela prevista, sem que o devedor compareça para cumprir a obrigação, poder ele requerer a purgação da mora. É que, no caso, a resolução do contrato se operou, pela interpelação feita, a partir do último momento em que se exauriu o prazo assinalado para implemento da obrigação. Di-lo, de forma insofismável, o parágrafo único do art. 119 do Código Civil que, antes de ter sua vigência denegada pelo v. acórdão recorrido, foi por este corretamente interpretado e aplicado. - Muito menos inocorreu negativa de vigência ao art. 1.092, parágrafo único, do Código Civil, que cuida da rescisão contratual e ressarcimento das perdas e danos à parte lesada pelo inadimplemento obrigacional. Ora, na espécie, quem pode invocar a condição de lesado pelo descumprimento da avença é o recorrido e não o recorrente, a quem, obviamente, não socorre a aplicação daquele preceito legal. "Resta, enfim, a divergência jurisprudencial que o douto despacho presidencial ... julgou configurado, no que este parecer o acompanha. - Na solução do dissídio, contudo, inclinamo-nos pela prevalência da orientação sufragada pelo eg. Tribunal de Alçada Civil de São Paulo aqui anteriormente aduzidas. - Pelo conhecimento, em face do atrito jurisprudencial, mas desprovimento do apelo." - Não existe razão para se reabrir o prazo para purgação da mora a partir da citação, se o devedor já estava constituído em mora, depois da notificação. Neste sentido, aliás, o RE 80.490 (R.T.J. 75/254) e RE 59.626 (R.T.J. 40/216). Assim, nos termos do parecer da Procuradoria-Geral da República, conheço do recurso, mas lhe nego provimento. Julgado em 06-09-1977 Revista Trimestral de Jurisprudência. Fevereiro, 1978 - Vol. 83 - Pág. 416 EMENTÁRIO FORENSE. Setembro, 1978. Ano XXX. Nº 358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Feita a interpelação e constituído o devedor em mora, não é admissível a emenda da mora no prazo da contestação da ação rescisória do contrato.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2026-10-26T02:33:27.938Z</dcterms:created>
  <dcterms:modified xsi:type="dcterms:W3CDTF">2026-10-26T02:33:27.938Z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