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Julgado em: </w:t>
      </w:r>
      <w:r>
        <w:t xml:space="preserve">09/05/1977</w:t>
      </w:r>
    </w:p>
    <w:p/>
    <w:p>
      <w:r>
        <w:t xml:space="preserve">COMUNHÃO DOS ADQUIRIDOS — INTERPRETAÇÃO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377 (*) visou a dar solução à controvérsia sobre se o regime da separação legal de bens (parágrafo único do art. 258 do Código Civil) se aplicava a regra do art. 259 do mesmo Código, apesar de este aludir a "silêncio do contrato") e o regime da separação legal de bens não resultar de convenção antenupcial. E a solução que deu foi a de aplicar o disposto no citado art. 259 ao referido regime de bens. Esse o motivo por que, na referência dessa Súmula, se encontram mencionados os arts. 258 e 259 do Código Civil. - Portanto, segundo a jurisprudência predominante desta Corte, mesmo no regime da separação legal de bens se comunicam os adquiridos na constância do casamento. - Em casos que tais, por se tratar de disciplina de regime de bens e não de sociedade de fato, para a comunicação dos bens basta sua aquisição na constância do casamento, entendida esta expressão como sociedade conjugal e não como vínculo matrimonial, tanto assim que, com o desquite (que só dissolve a sociedade conjugal), se põe termo ao regime matrimonial de bens, como se o casamento (isto é, o vínculo) fosse dissolvido (art. 322 do Código Civil). - O equívoco do agravante foi o de entender que a sociedade conjugal se extingue com a simples separação de fato, o que não é certo... - Negaram provimento ao agravo. Julgado em 10-05-1977 Revista Trimestral de Jurisprudência. Janeiro, 1978 - Vol. 83 - Pág. 84 (*) No regime da separação legal de bens, comunicam-se os adquiridos na constância do casamento." ("EMENTÁRIO FORENSE" Nº 191)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"... para a comunicação dos bens basta sua aquisição na constância do casamento, entendida esta expressão como sociedade conjugal e não como vínculo matrimonial..." (Trecho do voto do Relator)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2026-09-10T23:23:07.327Z</dcterms:created>
  <dcterms:modified xsi:type="dcterms:W3CDTF">2026-09-10T23:23:07.328Z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