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TERRENO CUMULADO A FRAÇÃO IDEAL</w:t>
      </w:r>
    </w:p>
    <w:p/>
    <w:p>
      <w:r>
        <w:rPr>
          <w:b/>
          <w:bCs/>
        </w:rPr>
        <w:t xml:space="preserve">Julgado em: </w:t>
      </w:r>
      <w:r>
        <w:t xml:space="preserve">09/05/1977</w:t>
      </w:r>
    </w:p>
    <w:p/>
    <w:p>
      <w:r>
        <w:t xml:space="preserve">COMUNHÃO DOS ADQUIRIDOS — INTERPRETAÇÃO DA SÚMULA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Súmula 377 (*) visou a dar solução à controvérsia sobre se o regime da separação legal de bens (parágrafo único do art. 258 do Código Civil) se aplicava a regra do art. 259 do mesmo Código, apesar de este aludir a "silêncio do contrato") e o regime da separação legal de bens não resultar de convenção antenupcial. E a solução que deu foi a de aplicar o disposto no citado art. 259 ao referido regime de bens. Esse o motivo por que, na referência dessa Súmula, se encontram mencionados os arts. 258 e 259 do Código Civil. - Portanto, segundo a jurisprudência predominante desta Corte, mesmo no regime da separação legal de bens se comunicam os adquiridos na constância do casamento. - Em casos que tais, por se tratar de disciplina de regime de bens e não de sociedade de fato, para a comunicação dos bens basta sua aquisição na constância do casamento, entendida esta expressão como sociedade conjugal e não como vínculo matrimonial, tanto assim que, com o desquite (que só dissolve a sociedade conjugal), se põe termo ao regime matrimonial de bens, como se o casamento (isto é, o vínculo) fosse dissolvido (art. 322 do Código Civil). - O equívoco do agravante foi o de entender que a sociedade conjugal se extingue com a simples separação de fato, o que não é certo... - Negaram provimento ao agravo. Julgado em 10-05-1977 Revista Trimestral de Jurisprudência. Janeiro, 1978 - Vol. 83 - Pág. 84 (*) No regime da separação legal de bens, comunicam-se os adquiridos na constância do casamento." ("EMENTÁRIO FORENSE" Nº 191) EMENTÁRIO FORENSE. Setembro, 1978. Ano XXX. Nº 358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"... para a comunicação dos bens basta sua aquisição na constância do casamento, entendida esta expressão como sociedade conjugal e não como vínculo matrimonial..." (Trecho do voto do Relator)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2026-06-17T14:21:05.927Z</dcterms:created>
  <dcterms:modified xsi:type="dcterms:W3CDTF">2026-06-17T14:21:05.927Z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