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COMPRA E VENDA</w:t>
      </w:r>
    </w:p>
    <w:p>
      <w:r>
        <w:rPr>
          <w:i/>
          <w:iCs/>
          <w:color w:val="666666"/>
        </w:rPr>
        <w:t xml:space="preserve">TERRENO CUMULADO A FRAÇÃO IDEAL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ESCRITURA DE FRAÇÃO IDEAL DE TERRENO VINCULADA A UNIDADE HABITACIONAL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Estou em que não contrariado o art. 167, I nº 29 da Lei de Registros Públicos, ao ter o acórdão por procedente dúvida quanto à registrabilidade de escritura de aquisição de fração ideal de terreno, vinculada a unidade habitacional determinada, sem que, antes, levada a registro a respectiva incorporação, em que definida a própria existência do bem adquirido. Isto posto, voto no sentido de não conhecer do recurso. Ac. de 22-06-1993 DJ de 23-08-1993 (Reg. nº 11.538-0) Arquivo do EMFOR, STJ/N 5415 EMENTÁRIO FORENSE. Agosto, 2003. Ano LV. Nº 657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registro de escritura de fração Ideal de terreno, vinculada a unidade habitacional só pode ser efetivado após o registro da respectiva incorporação, que define a existência do próprio bem adquirido.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2026-09-11T00:14:45.443Z</dcterms:created>
  <dcterms:modified xsi:type="dcterms:W3CDTF">2026-09-11T00:14:45.443Z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