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Julgado em: </w:t>
      </w:r>
      <w:r>
        <w:t xml:space="preserve">05/08/1985</w:t>
      </w:r>
    </w:p>
    <w:p/>
    <w:p>
      <w:r>
        <w:t xml:space="preserve">DOMICÍLIO OU RESIDÊNCIA DO RÉU — DEVER DESTE DE OPOR EXCEÇÃO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das Varas Cíveis Regionais determina-se pelo domicílio e residência do réu, e não pela situação do imóvel, influindo esta última apenas para excluir a competência pelo domicílio nas ações relativas a imóvel não situado na região. (C.O.D.J. art. 108, I, a). - Essa competência, por outro lado, é estabelecida no exclusivo interesse do réu, que pode deixar de invocá-la quando acionado em juízo diverso, prorrogando-se, quando isso ocorre, a competência do juízo da vara não regional. - Inadmissível, portanto, declinar o juiz para uma das Varas Regionais sem que o réu haja oposto a exceção de incompetência relativa. Julgado em 06-08-1985 Arquivo do EMFOR, TA/675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das varas cíveis regionais tem fundamento no domicílio ou residência do réu, cabendo a este, acionado em outro juízo, opor a exceção de incompetência relativa. Não pode o juiz declinar, "ex officio", para a vara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2026-07-28T00:08:33.676Z</dcterms:created>
  <dcterms:modified xsi:type="dcterms:W3CDTF">2026-07-28T00:08:33.676Z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