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Julgado em: </w:t>
      </w:r>
      <w:r>
        <w:t xml:space="preserve">05/08/1985</w:t>
      </w:r>
    </w:p>
    <w:p/>
    <w:p>
      <w:r>
        <w:t xml:space="preserve">DOMICÍLIO OU RESIDÊNCIA DO RÉU — DEVER DESTE DE OPOR EXCEÇÃO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competência das Varas Cíveis Regionais determina-se pelo domicílio e residência do réu, e não pela situação do imóvel, influindo esta última apenas para excluir a competência pelo domicílio nas ações relativas a imóvel não situado na região. (C.O.D.J. art. 108, I, a). - Essa competência, por outro lado, é estabelecida no exclusivo interesse do réu, que pode deixar de invocá-la quando acionado em juízo diverso, prorrogando-se, quando isso ocorre, a competência do juízo da vara não regional. - Inadmissível, portanto, declinar o juiz para uma das Varas Regionais sem que o réu haja oposto a exceção de incompetência relativa. Julgado em 06-08-1985 Arquivo do EMFOR, TA/675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das varas cíveis regionais tem fundamento no domicílio ou residência do réu, cabendo a este, acionado em outro juízo, opor a exceção de incompetência relativa. Não pode o juiz declinar, "ex officio", para a vara regional.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2026-10-26T02:16:40.608Z</dcterms:created>
  <dcterms:modified xsi:type="dcterms:W3CDTF">2026-10-26T02:16:40.608Z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