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/>
    <w:p>
      <w:r>
        <w:t xml:space="preserve">INCOMUNICABILIDADE DOS ADQUIRIDOS COM VERBA DO FGTS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restou demonstrado nos autos, o bem imóvel em discussão foi adquirido totalmente com recursos oriundos do FGTS, verba de natureza indenizatória que não se insere nos aquestos. - Despicienda a alegação esposada pela apelante no sentido de que o art. 5º, da Lei 9.278/96, não faz menção à origem dos recursos para aquisição de bem, tendo em vista que as regras pertinentes ao matrimônio lhe são aplicáveis de forma subsidiária. - A jurisprudência e a doutrina são uníssonas no sentido de que a referida verba não se comunica, vez que tem natureza indenizatória e por finalidade compensar a ausência de estabilidade do trabalhador que está subsumido ao regime celetista. - Se este é o tratamento jurídico dado à partilha de bens no casamento, impossibilitando-se a inserção de sobreditos bens ao patrimônio comum, mesma solução impõe-se à união estável, sob pena de se deferir a este mais direitos do que àquele. Ac. de 11-06-2002 Revista de Direito, TJ-RJ. Abril a Junho de 2003. Vol. 55. Pág. 307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incomunicáveis os bens adquiridos com recursos do FGTS, visto tratar-se de verba indenizatória que não se insere nos aquestos.(Ementa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2026-10-26T03:45:44.191Z</dcterms:created>
  <dcterms:modified xsi:type="dcterms:W3CDTF">2026-10-26T03:45:44.191Z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