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/>
    <w:p>
      <w:r>
        <w:t xml:space="preserve">INCOMUNICABILIDADE DOS ADQUIRIDOS COM VERBA DO FGTS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restou demonstrado nos autos, o bem imóvel em discussão foi adquirido totalmente com recursos oriundos do FGTS, verba de natureza indenizatória que não se insere nos aquestos. - Despicienda a alegação esposada pela apelante no sentido de que o art. 5º, da Lei 9.278/96, não faz menção à origem dos recursos para aquisição de bem, tendo em vista que as regras pertinentes ao matrimônio lhe são aplicáveis de forma subsidiária. - A jurisprudência e a doutrina são uníssonas no sentido de que a referida verba não se comunica, vez que tem natureza indenizatória e por finalidade compensar a ausência de estabilidade do trabalhador que está subsumido ao regime celetista. - Se este é o tratamento jurídico dado à partilha de bens no casamento, impossibilitando-se a inserção de sobreditos bens ao patrimônio comum, mesma solução impõe-se à união estável, sob pena de se deferir a este mais direitos do que àquele. Ac. de 11-06-2002 Revista de Direito, TJ-RJ. Abril a Junho de 2003. Vol. 55. Pág. 307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incomunicáveis os bens adquiridos com recursos do FGTS, visto tratar-se de verba indenizatória que não se insere nos aquestos.(Ementa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2026-06-17T15:24:55.716Z</dcterms:created>
  <dcterms:modified xsi:type="dcterms:W3CDTF">2026-06-17T15:24:55.716Z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