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TRANSPORTE DE MERCADORIA</w:t>
      </w:r>
    </w:p>
    <w:p>
      <w:r>
        <w:rPr>
          <w:i/>
          <w:iCs/>
          <w:color w:val="666666"/>
        </w:rPr>
        <w:t xml:space="preserve">DESAPARECIMENTO DA COISA</w:t>
      </w:r>
    </w:p>
    <w:p/>
    <w:p/>
    <w:p>
      <w:r>
        <w:t xml:space="preserve">INCOMUNICABILIDADE DOS ADQUIRIDOS COM VERBA DO FGTS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restou demonstrado nos autos, o bem imóvel em discussão foi adquirido totalmente com recursos oriundos do FGTS, verba de natureza indenizatória que não se insere nos aquestos. - Despicienda a alegação esposada pela apelante no sentido de que o art. 5º, da Lei 9.278/96, não faz menção à origem dos recursos para aquisição de bem, tendo em vista que as regras pertinentes ao matrimônio lhe são aplicáveis de forma subsidiária. - A jurisprudência e a doutrina são uníssonas no sentido de que a referida verba não se comunica, vez que tem natureza indenizatória e por finalidade compensar a ausência de estabilidade do trabalhador que está subsumido ao regime celetista. - Se este é o tratamento jurídico dado à partilha de bens no casamento, impossibilitando-se a inserção de sobreditos bens ao patrimônio comum, mesma solução impõe-se à união estável, sob pena de se deferir a este mais direitos do que àquele. Ac. de 11-06-2002 Revista de Direito, TJ-RJ. Abril a Junho de 2003. Vol. 55. Pág. 307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São incomunicáveis os bens adquiridos com recursos do FGTS, visto tratar-se de verba indenizatória que não se insere nos aquestos.(Ementa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2026-09-10T23:13:16.414Z</dcterms:created>
  <dcterms:modified xsi:type="dcterms:W3CDTF">2026-09-10T23:13:16.414Z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