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TRANSPORTE DE MERCADORIA</w:t>
      </w:r>
    </w:p>
    <w:p>
      <w:r>
        <w:rPr>
          <w:i/>
          <w:iCs/>
          <w:color w:val="666666"/>
        </w:rPr>
        <w:t xml:space="preserve">DESAPARECIMENTO DA COISA</w:t>
      </w:r>
    </w:p>
    <w:p/>
    <w:p>
      <w:r>
        <w:rPr>
          <w:b/>
          <w:bCs/>
        </w:rPr>
        <w:t xml:space="preserve">Recurso: </w:t>
      </w:r>
      <w:r>
        <w:t xml:space="preserve">REsp 287.515/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ELIANA CALMON</w:t>
      </w:r>
    </w:p>
    <w:p/>
    <w:p>
      <w:r>
        <w:t xml:space="preserve">QUANDO CABE — QUESTÕES QUE PODEM SER CONHECIDAS DE OFÍCIO PELO JUIZ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jurisprudência do Eg. STJ vem admitindo o manejo da medida cautelar preparatória para atribuir efeito suspensivo ao recurso especial e o seu conseqüente processamento. - Nessa linha de entendimento, é lícito proceder a um prévio juízo de admissibilidade do recurso especial, porquanto se manifestamente inadmissível, improcedente ou contrário à súmula ou a jurisprudência dominante de tribunal superior, de nada resultará o sucesso da liminar se, antecipadamente, já previsto o malogro da ação principal diante do exame de admissibilidade negativo do recurso. - Examinando as razões lançadas no âmbito do recurso especial, verifica-se que os recorrentes pretendem reformar decisão supostamente desprovida de plausibilidade jurídica com relação ao "fumus bonis juris" e o "periculum in mora". - Como cediço, é da essência do processo de execução a busca da satisfação rápida e eficaz do credor. Por esse motivo, o nosso sistema processual estabeleceu como condição específica dos embargos do devedor a segurança do juízo, capaz de tornar útil o processo após a rejeição dos embargos. Todavia, a doutrina e a jurisprudência, diante da existência de vícios no título executivo que possam ser declarados de ofício, vêm admitindo a utilização da exceção de pré-executividade, cuja principal função é a de desonerar o executado de proceder à segurança do juízo para discutir a inexeqüibilidade de título ou a iliqüidez do crédito exeqüendo. - Forçoso advertir, contudo, que a exceção de pré-executividade só deve ser utilizada em hipóteses especialíssimas, não sendo cabível quando o vício apontado não se refira ao título nos seus aspectos formais ou ao crédito exeqüendo. - Neste sentido, tivemos oportunidade de destacar: "Esse rol de matérias compõem o que se denomina 'exceções de pré-executividade', que 'podem ser suscitadas nos próprios autos' e, por isso, 'sem necessidade de segurança do juízo'. O que impende esclarecer é que 'não se pode promiscuir a categorização das exceções de pré-executividade', posto que isso reduziria o processo executivo destinado à rápida satisfação do credor num simulacro de execução transmudando-se em tutela cognitiva ordinária." (in CURSO DE DIREITO PROCESSUAL CIVIL, Luiz Fux, Rio de Janeiro, Forense, 2001. p. 1196) - Deveras, a matéria tratada na exceção de pré-executividade diz respeito à falta de citação no processo de execução fiscal, consubstanciando tema sujeito à apreciação no âmbito de embargos à execução, cuja cognição é ampla e irrestrita. - Merece, portanto, transcrição "ipsis litteris" da decisão monocrática proferida pelo e. Ministro Paulo Medido: "A verificação da plausibilidade do direito invocado requer a análise, ainda que perfunctória, com a possibilidade de êxito do recurso especial, o que não se verifica na presente hipótese. A tese defendida pelo recorrente, qual seja, a possibilidade do oferecimento de exceção de pré-executividade para discussão da nulidade da citação, com a conseqüente verificação da prescrição, em execução fiscal, não encontra guarida nesta Corte. A primeira razão, reside no fato de que a exceção de pré-executividade só deve ser utilizada em hipóteses especialíssimas, não sendo cabível quando o v ício apontado não se refira ao título nos seus aspectos formais ou ao crédito exeqüendo, sendo esta restrição ainda mais patente nas execuções fiscais, vez que expressa no § 3º do art. 16 da LEF. Neste sentido, iterativa jurisprudência: "PROCESSO CIVIL - EXECUÇÃO FISCAL - MATÉRIA DE DEFESA: PRÉ-EXECUTIVIDADE - RESPONSABILIDADE DO SÓCIO. 1. Em tese, a exceção de pré-executividade, consubstanciada na oposição de defesa na execução, sem o ajuizamento da ação incidental de embargos, é admitida por construção da doutrina e da jurisprudência. 2. O STJ aceita a exceção de pré-executividade nas execuções regidas pelo CPC, quando a matéria argüida independe de prova e alveja de plano a liqüidez e certeza do título em cobrança. 3. Aceitação ainda mais restrita em relação à execução fiscal, em razão da previsão contida no § 3º do art. 16 da LEF (Lei 6.830/80). 4. Responsabilidade do sócio de sociedade que se extinguiu de fato é tema controvertido e que enseja indagações fáticas e exame de prova. 5. Recurso especial improvido" (REsp nº 287.515/SP, Rel. Min. ELIANA CALMON, DJ de 29.04.2002, pág. 00223). "PROCESSO CIVIL. EXECUÇÃO. EXCEÇÃO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da essência do processo de execução a busca da satisfação rápida e eficaz do credor. Por esse motivo, o nosso sistema processual estabeleceu como condição específica dos embargos do devedor a segurança do juízo, capaz de tornar útil o processo após a rejeição dos embargos. - Todavia, a doutrina e a jurisprudência, diante da existência de vícios no título executivo que possam ser declarados de ofício, vêm admitindo a utilização da exceção de pré-executividade, cuja principal função é a de desonerar o executado de proceder à segurança do juízo para discutir a inexeqüibilidade de título ou a iliqüidez do crédito exeqüendo.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2026-09-11T00:15:12.684Z</dcterms:created>
  <dcterms:modified xsi:type="dcterms:W3CDTF">2026-09-11T00:15:12.684Z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