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REsp 21.315-</w:t>
      </w:r>
    </w:p>
    <w:p/>
    <w:p>
      <w:r>
        <w:t xml:space="preserve">INSTITUIÇÃO POR LEI ESTADUAL — PREVALÊNCIA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vara privativa, instituída por lei estadual, não altera a competência territorial resultante das leis de processo Referência: CPC, arts. 99 e 100, IV, "a" e "b" REsp 21.315-SP (1ªT 24/03/93 - DJ 10/05/93) REsp 49.457-PR (1ªT 19/09/94 - DJ 10/10/94) REsp 34.816-MG (1ªT 08/02/95 - DJ 06/03/95) REsp 67.186-SP (1ªT 19/06/95 - DJ 28/08/95) REsp 80.482-MG (1ªT 22/02/96 - DJ 18/03/96) AgRg 92.717-PR (2ªT 13/12/96 - DJ 03/02/97) REsp 46.385-SC (2ªT 16/12/96 - DJ 03/03/97) REsp 13.649-SP (3ªT 28/10/91 - DJ 25/11/91) AgRg 42.513-RS (5ªT 25/05/94 - DJ 06/06/94) (Of. nº 78/98) (Dias 16, 17 e 20/04/98)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2026-07-28T01:53:18.573Z</dcterms:created>
  <dcterms:modified xsi:type="dcterms:W3CDTF">2026-07-28T01:53:18.573Z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