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OUTORGA UXÓRIA</w:t>
      </w:r>
    </w:p>
    <w:p>
      <w:r>
        <w:rPr>
          <w:i/>
          <w:iCs/>
          <w:color w:val="666666"/>
        </w:rPr>
        <w:t xml:space="preserve">CESSÃO DE DIREITOS SOBRE IMÓVEL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VALIDADE — FALTA DE REGISTRO IMOBILIÁRIO -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Corte, por sua Eg. Segunda Seção, tem entendido ser válida a promessa de compra e venda de imóvel independente do registro imobiliário, que é necessário para sua validade e eficácia perante terceiros. - .................................................. - Confiram-se, a respeito, os seguintes precedentes: "CIVIL E PROCESSUAL - PROMESSA DE COMPRA E VENDA - IMÓVEL - INSCRIÇÃO NO REGISTRO IMOBILIÁRIO - ADJUDICAÇÃO. I - A PROMESSA DE VENDA GERA EFEITOS OBRIGACIONAIS NÃO DEPENDENDO, PARA SUA EFICÁCIA E VALIDADE, DE SER FORMALIZADA EM INSTRUMENTO PÚBLICO. O DIREITO A ADJUDICAÇÃO COMPULSÓRIA E DE CARÁTER PESSOAL, RESTRITO AOS CONTRATANTES, NÃO SE CONDICIONANDO A "OBRIGATIO FACIENDI" A INSCRIÇÃO NO REGISTRO DE IMÓVEIS. II - RECURSO CONHECIDO E PROVIDO." (REsp. nº 19414/MG, de minha relatoria, DJ de 08-06-92) "COMPROMISSO DE VENDA E COMPRA. ADJUDICAÇÃO COMPULSÓRIA. REGISTRO IMOBILIÁRIO. PARA O EXERCÍCIO DA AÇÃO DE ADJUDICAÇÃO COMPULSÓRIA NÃO SE FAZ INDISPENSÁVEL A INSCRIÇÃO DA PROMESSA DE VENDA E COMPRA NO REGISTRO DE IMÓVEIS. PRECEDENTES DO STJ. RECURSO ESPECIAL NÃO CONHECIDO." (REsp. 23675/RS. Relator Ministro Barros Monteiro, DJ de 30-11-92) "ADJUDICAÇÃO COMPULSÓRIA. COMPROMISSO DE COMPRA E VENDA. INSTRUMENTO PARTICULAR NÃO REGISTRADO. VALIDADE. ORIENTAÇÃO DO TRIBUNAL. PRECEDENTES. RECURSO DESACOLHIDO. SEGUNDO JURISPRUDÊNCIA DA CORTE, A PROMESSA DE COMPRA E VENDA SOMENTE RECLAMA INSCRIÇÃO DO INSTRUMENTO PARA SUA VALIDADE E EFICÁCIA PERANTE TERCEIROS, MOSTRANDO-SE HÁBIL A OBTENÇÃO DA ADJUDICAÇÃO COMPULSÓRIA EM RELAÇÃO AO PROMITENTE VENDEDOR INDEPENDENTEMENTE DESSE REG ISTRO." (REsp. nº 13639/SP, Relator Ministro Sálvio de Figueiredo Teixeira, DJ de 16-11-92) Ac. de 19-02-2001 DJ de 16-04-2001, pág. 340 (Reg. nº 2000/0010051-0) Arquivo do EMFOR, STJ/N 5466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promessa de venda gera efeitos obrigacionais não dependendo, para sua eficácia e validade, de ser formalizada em instrumento público. O direito a adjudicação compulsória é de caráter pessoal, restrito aos contratantes, não se condicionando a "obligatio faciendi" à inscrição no registro de imóveis.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2026-10-26T04:40:44.550Z</dcterms:created>
  <dcterms:modified xsi:type="dcterms:W3CDTF">2026-10-26T04:40:44.550Z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