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BURACO EM VIA PÚBLICA</w:t>
      </w:r>
    </w:p>
    <w:p/>
    <w:p/>
    <w:p>
      <w:r>
        <w:t xml:space="preserve">COMPENSAÇÃO — PEDIDO FEITO NA FASE RECURSAL - IMPOSSIBILIDADE DE APRECIAÇÃO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compensação, no entanto, é possível, até mesmo para evitar o enriquecimento sem causa, porém, tenho que a mesma não pode ser deferida no presente feito, vez que o pedido só veio na fase recursal e, as verbas que se pretende compensar não são líquidas e certas, desafiando toda uma fase cognitiva. - A apelante, querendo, deverá trilhar caminho processual próprio e adequado para tal mister. - Com estes fundamentos, nego provimento ao recurso. Ac. de 20-05-2002 Jurisprudência Mineira. Outubro a Dezembro, 2002. Ano 53. Vol. 162. Pág. 190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compensação é possível, até mesmo para evitar o enriquecimento sem causa, porém a mesma não pode ser deferida na rescisão de contrato, se o pedido só veio na fase recursal e as verbas que se pretende compensar não são líquidas e certas.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2026-07-28T02:17:12.720Z</dcterms:created>
  <dcterms:modified xsi:type="dcterms:W3CDTF">2026-07-28T02:17:12.720Z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