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 51.952</w:t>
      </w:r>
    </w:p>
    <w:p/>
    <w:p>
      <w:r>
        <w:t xml:space="preserve">REGISTRO DE TÍTULOS E DOCUMENTOS — TRANSCRIÇÃO - EFEITOS EM RELAÇÃO A TERCEIRO DE BOA 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compra e venda de automóvel não prevalece contra terceiros de boa- fé, se o contrato não foi transcrito no Registro de Títulos e Documentos. Referência: Dec.-Lei nº 1.027, de 02.01.39 (D.O. de 06.01.39). Decreto nº 4.857, de 09.11.39, art. 136, parágrafos 5º e 7º RE 51.952, de 23.08.65 (R.T.J. 34/88); RE 66.338, de 18.03.39 (D.J. de 16.05.69); RE 64.291, de 24.04.68 (R.T.J. 45/278).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2026-10-26T02:21:12.916Z</dcterms:created>
  <dcterms:modified xsi:type="dcterms:W3CDTF">2026-10-26T02:21:12.916Z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