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PLANO DE ASSISTÊNCIA MÉDICA</w:t>
      </w:r>
    </w:p>
    <w:p>
      <w:r>
        <w:rPr>
          <w:i/>
          <w:iCs/>
          <w:color w:val="666666"/>
        </w:rPr>
        <w:t xml:space="preserve">DESPESAS MÉDICO-HOSPITALARES</w:t>
      </w:r>
    </w:p>
    <w:p/>
    <w:p>
      <w:r>
        <w:rPr>
          <w:b/>
          <w:bCs/>
        </w:rPr>
        <w:t xml:space="preserve">Recurso: </w:t>
      </w:r>
      <w:r>
        <w:t xml:space="preserve">Apelação 135.088-3.00</w:t>
      </w:r>
    </w:p>
    <w:p>
      <w:r>
        <w:rPr>
          <w:b/>
          <w:bCs/>
        </w:rPr>
        <w:t xml:space="preserve">Julgado em: </w:t>
      </w:r>
      <w:r>
        <w:t xml:space="preserve">26/04/1995</w:t>
      </w:r>
    </w:p>
    <w:p/>
    <w:p>
      <w:r>
        <w:t xml:space="preserve">FALTA DE PAGAMENTO — CORTE NO FORNECIMENTO -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sentenciante adotou o entendimento de que o serviço de fornecimento de energia elétrica é essencial e submetido à continuidade, não podendo ser interrompido por falta de pagamento das tarifas. - A recorrente defende a possibilidade do corte de fornecimento de energia elétrica ao consumidor pelo não cumprimento de sua obrigação de pagar as tarifas, ao fundamento de que as relações entre concessionários e consumidores são regidas pela Lei nº 8.987/95 e pela Portaria DNAEE nº 466/97. Diz que não poderia ter ciência do deferimento da concordata à apelada, que se consumou somente em 30.06.2000. Aduz que a participação do usuário é necessária e imprescindível para a prestação e o custeio do serviço público. Sustenta que a essencialidade do serviço não afasta a bilateralidade do vínculo entre o concessionário e o usuário e que a continuidade não significa a obrigatoriedade de sua manutenção, quando descumprido, pelo consumidor, o seu dever principal de pagamento da conta mensal. Cita jurisprudência em abono de suas teses. - A Procuradoria-Geral de Justiça manifestou-se pelo desprovimento do recurso (f.). - Entendo que a concessionária não se obriga a fornecer indefinidamente o serviço de energia elétrica para usuário que não se desincumbe da obrigação que lhe é exigível, de pagamento da tarifa. - Atribuir à Companhia o dever de suportar o fornecimento, mesmo quando o usuário não fornece a contrapartida, implica em incentivo ao inadimplemento e ao desrespeito a norma s contratuais. - O não pagamento das tarifas por usuários isolados acaba por provocar um desequilíbrio, que será suportado pela coletividade, seja porque será necessário um aumento nas tarifas, seja porque a qualidade do serviço refletirá o problema financeiro. - Dessa forma, legal a suspensão do fornecimento de energia elétrica e incorreto atribuir-lhe, em tese, a característica de meio coercitivo e indevido de cobrança. - A Lei nº 8.987/95 (art. 6º, § 3º, II) e a Portaria nº 466, de 12 de novembro de 1.997, do Diretor do Departamento Nacional de Águas e Energia Elétrica, admitem a suspensão do fornecimento, por atraso de pagamento da conta, após o transcurso do prazo de 10 dias do vencimento e a notificação, com prazo mínimo de 15 dias (art. 76, II e § 2º), considerado o interesse da coletividade. - Em parecer do ilustre Professor MIGUEL REALE, que foi apresentado nos autos da Apelação nº 135.088-3.00, julgada nesta Quarta Câmara Cível, em maio de 1999, o qual adotei como uma das razões de decidir, S. Exa. concluiu que: "Sendo a energia elétrica um bem essencial à coletividade, não é legal, nem justo, que a concessionária - abstração feita de certo tempo de tolerância que haja por bem estabelecer - seja obrigada a continuar fornecendo energia a quem não a paga pontualmente, sendo compelida a recorrer à demorada tramitação de demandas judiciais para obter o pagamento do usuário inadimplente. Nesse caso, não está efetivamente em jogo apenas o interesse da empresa concessionária, mas sim o da sociedade inteira, sendo facilmente previsível o colapso do serviço se se generalizasse a recusa do pagamento da conta expedida com base em tarifa, a qual constitui preço público, e não preço fixado "ad libitum" pelo empresário". - O corte de energia, na maioria dos casos, não expõe a empresa a ridículo nem constitui constrangimento ilegal ou ameaça. - Não consubstancia, também, a justiça privada, po is o corte de energia é compatível com a cobrança da conta. Suspende- se o fornecimento para o futuro; cobra-se o fornecimento passado. - O corte de energia é a suspensão da prestação quando não há contraprestação. - A continuidade e a essencialidade da prestação dos serviços de energia elétrica devem ser admitidas e preservadas em prol da coletividade e não como mecanismos de fomento à inadimplência de determinados consumidores. - No entanto, neste caso, segundo informa a própria recorrente, à apelada foi deferida concordata preventiva, o que faz presumir sua intenção de honrar os compromissos assumidos com seus credores quirografários, dentre eles a apelante. - Logo, viável a concessão da cautelar postulada, não porque se impede a suspensão do fornecimento de energia elétrica à consumidora inadimplente com os pagamentos pretéritos, em obséquio da continuidade e da essencialidade do serviço, mas em razão do seu estado de concordatária, cujo benefício legal não deve ser frustrado com a exigência de solução imediata do crédito, nem mediante a adoção de providência coativa par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medida cautelar, assegura-se a manutenção do fornecimento de energia elétrica à devedora-concordatária, cujo benefício legal não deve ser frustrado com a exigência da solução imediata do crédito declarado na concordata, nem mediante a adoção de providência coativa para sua realização, porque, nesta hipótese, a empresa seria obrigada a interromper suas atividades e impedida de cumprir as condições da moratória.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2026-07-28T00:19:03.379Z</dcterms:created>
  <dcterms:modified xsi:type="dcterms:W3CDTF">2026-07-28T00:19:03.379Z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