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PLANO DE ASSISTÊNCIA MÉDICA</w:t>
      </w:r>
    </w:p>
    <w:p>
      <w:r>
        <w:rPr>
          <w:i/>
          <w:iCs/>
          <w:color w:val="666666"/>
        </w:rPr>
        <w:t xml:space="preserve">DESPESAS MÉDICO-HOSPITALARES</w:t>
      </w:r>
    </w:p>
    <w:p/>
    <w:p/>
    <w:p>
      <w:r>
        <w:t xml:space="preserve">FALTA — CERCEAMENTO DE DEFESA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Ultrapassadas as questões acima expostas, o cerne da questão é verificar se ao proferir a sentença hostilizada, sem considerar as contestações, o Douto Magistrado "a quo" cerceou ou não o direito de defesa. - Aplicando o art. 241, inciso III, do CPC, iniciar- se-á a contagem do prazo, a partir da juntada do último aviso de recebimento aos autos, quando existirem vários réus. Portanto, conclui- se pela tempestividade da interposição das contestações no dia 20/03/2001, já que a juntada do A. R., devidamente cumprido, ocorrera em 20/02/2001. - "Data venia", o Douto Magistrado monocrático ao prolatar a sentença que extinguiu o processo, com julgamento de mérito, deveria observar o princípio da utilidade que norteia a aplicação do art. 191, do CPC, ou seja, impõe-se que o procurador tenha tempo suficiente para a análise dos autos. - Não há dúvidas de que o polo passivo da relação processual foi formado pelo litisconsórcio das duas empresas demandadas pela autora. Também, não restam dúvidas da diversidade de procuradores para promover a defesa das demandadas. Consectário lógico das assertivas acima aduzidas, é que ao proferir a sentença sem considerar a contestação, aplicando os efeitos da revelia, ensejou vício de nulidade, pela absoluta falta de observância do devido processo legal e do direito de defesa. Ac. de 03-09-2002 Jurisprudência Mineira. Outubro a Dezembro, 2002. Ano 53. Vol. 162. Pág. 245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proferimento de sentença sem apreciação de contestação tempestiva determina cerceamento de defesa, bem como violação do devido processo 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2026-07-28T00:39:08.346Z</dcterms:created>
  <dcterms:modified xsi:type="dcterms:W3CDTF">2026-07-28T00:39:08.346Z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