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Ênio Santarelli Zuliani</w:t>
      </w:r>
    </w:p>
    <w:p/>
    <w:p>
      <w:r>
        <w:t xml:space="preserve">POSSIBILIDADE — HIPÓTESE DE ERRO DEMONSTRADO ATRAVÉS DE EXAME DE DNA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razões recursais das partes e a manifestação da Procuradoria-Geral de Justiça foram objeto de sucinta dissertação no relatório de fls.. - Conhece-se do recurso, por estar adequado aos pressupostos de admissibilidade. - Aprecia-se, inicialmente, o agravo retido de fls., em razão de expresso requerimento do recorrente, a tanto. - O agravante alegou que houve prescrição do direito de contestar a paternidade, por analogia ao art. 178, parágrafo 3º do Código Civil, que dispõe 'ipsis litteris': "Prescreve em dois meses, contados do nascimento, se era presente o marido, a ação para este contestar a legitimação do filho de sua mulher". - Entretanto, deve-se salientar que não há limite temporal para que o pai conteste a filiação que decorre do registro civil, não podendo o aplicador da lei se limitar ao conteúdo percebido em uma leitura literal e isolada, a ponto de negar-lhe sentido e valor. - Não se pode ignorar os avanços científicos e tecnológicos ocorridos desde o início do século passado, ou seja, sendo o C.C. de 1916, imperioso observar que, hoje, a ciência fornece métodos notavelmente seguros para se verificar a existência do vínculo de filiação. - Ademais, com a mudança no sistema jurídico brasileiro, alargou-se a possibilidade de reconhecimento e impugnação da paternidade. - Com efeito, o art. 27 do ECA dispõe que: "o reconhecimento do estado de filiação é direito personalíssimo, indisponível e imprescritível, podendo ser exercitado contra os pais ou seus herdeiros, sem qualque r restrição, observado o segredo de Justiça". - Tal ampliação não se restringe aos filhos, estende- se também aos pais, pois o que se busca, atualmente, é a verdade real, para a afirmação da verdadeira paternidade-filiação. - Constata-se, portanto, que a prescritibilidade do direito de excluir a paternidade, além de ir de encontro ao art. 27 do ECA, é uma afronta ao princípio constitucional da dignidade da pessoa. - "In verbis", o julgado citado pala douta Promotora de Justiça: "PATERNIDADE- RECONHECIMENTO VOLUNTÁRIO - ERRO SUBSTANCIAL- ANULAÇÃO DO REGISTRO Na virada do milênio, com a valorização dos atributos da dignidade da pessoa humana e seu patrimônio genético, é inconcebível manter hígido falso reconhecimento de paternidade, pela nocividade para o plano afetivo da família, relação de dependência econômica e o interesse social que a descoberta da exclusão genética pelo teste DNA provoca nestes setores. Rescisória procedente"(TJSP- AR78.645-4/3- Rel. Ênio Santarelli Zuliani-j15-05-2001) - Isto posto, nego provimento ao agravo retido, por entender que não ocorreu a prescrição, por não ser cabível interpretação analógica ao presente caso. - No que tange ao recurso de apelação, não há que se questionar a insuficiência de provas. - Além do exame de DNA ter sido assinado por um dos mais respeitados geneticistas do país, a mãe do menor afirmou em Juízo, nas fls., que tem certeza de que Aristides não é o pai de Herbert. - Emerge inconteste do exame de DNA, ínsito às fls., que Herbert não é filho de Aristides. - De bom alvitre observar que o art. 1º da Lei 8.560/1992 dispõe que o reconhecimento de filho havido fora do casamento é irrevogável. - Entretanto, como todo ato jurídico, o reconhecimento de filho deve revestir todas as formalidades legais, sujeitando-se às nulidades dele decorrentes. - No presente caso, ficou constatado que Aristides S.L. registrou Herbert J. por um erro. Na ocasião, fora induzido a crer que era, realmente, pai da criança. Tal reconhecimento é, portanto, anulável, nos termos do art. 147, II do C.C. - Pelo exposto, nega-se provimento ao recurso, mantendo-se a sentença em sua íntegra. Ac. de 27-06-2002 DJ de 09-08-2002 Jurisprudência Mineira. Outubro a Dezembro, 2002. Ano 53. Vol. 162. Pág. 384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Demonstrado, por exame de DNA, que o reconhecimento da paternidade foi impulsionado por erro, é o mesmo passível de anulação, nos termos do art. 147, II, do Código Civil Brasileiro. - O direito de exclusão de paternidade é imprescritível, considerados o art. 27 da Lei nº 8.069/90 (Estatuto da Criança e do Adolescente) e o princípio constitucional da dignidade da pessoa.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2026-10-26T03:47:12.403Z</dcterms:created>
  <dcterms:modified xsi:type="dcterms:W3CDTF">2026-10-26T03:47:12.403Z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