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/>
    <w:p>
      <w:r>
        <w:t xml:space="preserve">FLUÊNCIA DO PRAZO — QUANDO OCORRE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"thema decidendum", no recurso é limitado ao prazo de decadência para a propositura da ação rescisória. - O 1º Grupo de Câmaras Cíveis do Tribunal de Justiça entendeu que, uma vez não admitindo o recurso extraordinário e se a arguição de relevância foi rejeitada, a decisão rescindenda transita em julgado desde a interposição daquele recurso. - Entendeu o acórdão ora embargado que o trânsito em julgado da decisão só tem lugar na data em que for rejeitada a arguição de relevância, correndo daí o prazo para propor ação rescisória. - A decisão, portanto, se refere apenas a esse tema, ficando devolvido ao colegiado "a quo" o conhecimento e julgamento da ação rescisória. - Com tais esclarecimentos, recebo os embargos. Ac. de 11-04-1986 Revista Trimestral de Jurisprudência, Março de 1988, Vol. 123 - Pág. 1.118 EMFOR 486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 do trânsito em julgado é que flui o prazo para propor ação rescisória (art. 495, do CPC), e se considera não transitada em julgado a decisão até a apreciação da arguição de relevância de questão federal, na instância extraordinária, é da data do desacolhimento da arguição que começa a fluir aquele prazo.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2026-09-11T06:25:07.261Z</dcterms:created>
  <dcterms:modified xsi:type="dcterms:W3CDTF">2026-09-11T06:25:07.261Z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