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INADIMPLÊNCIA RECÍPROCA</w:t>
      </w:r>
    </w:p>
    <w:p/>
    <w:p/>
    <w:p>
      <w:r>
        <w:t xml:space="preserve">SUA LEGITIMIDADE PARA EXECUTAR MULTA APLICADA EM AÇÃO CIVIL PÚBLICA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infundada a preliminar de ilegitimidade do Ministério Público para propor o presente processo executivo. - Ora, sendo o Representante do Ministério Público o titular da ação civil pública, obviamente, tem ele legitimidade para executar a multa inerente àquela demanda. - Rejeita-se a preliminar. Ac. de 23-05-2002 DJ de 07-06-2002 Jurisprudência Mineira. Julho a Setembro, 2002. Ano 53. Vol. 161. Pág. 71 EMENTÁRIO FORENSE. Outubro, 2003. Ano LV. Nº 659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Ministério Público tem legitimidade para executar multa aplicada em autos de ação civil pública de responsabilidade por danos causados ao meio ambiente, por ser o titular da referida ação.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2026-09-11T01:08:44.348Z</dcterms:created>
  <dcterms:modified xsi:type="dcterms:W3CDTF">2026-09-11T01:08:44.348Z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