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RECÍPROCA</w:t>
      </w:r>
    </w:p>
    <w:p/>
    <w:p/>
    <w:p>
      <w:r>
        <w:t xml:space="preserve">SUA LEGITIMIDADE PARA EXECUTAR MULTA APLICADA EM AÇÃO CIVIL PÚBLICA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infundada a preliminar de ilegitimidade do Ministério Público para propor o presente processo executivo. - Ora, sendo o Representante do Ministério Público o titular da ação civil pública, obviamente, tem ele legitimidade para executar a multa inerente àquela demanda. - Rejeita-se a preliminar. Ac. de 23-05-2002 DJ de 07-06-2002 Jurisprudência Mineira. Julho a Setembro, 2002. Ano 53. Vol. 161. Pág. 71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Ministério Público tem legitimidade para executar multa aplicada em autos de ação civil pública de responsabilidade por danos causados ao meio ambiente, por ser o titular da referida 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2026-10-26T03:25:59.728Z</dcterms:created>
  <dcterms:modified xsi:type="dcterms:W3CDTF">2026-10-26T03:25:59.728Z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