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RECÍPROCA</w:t>
      </w:r>
    </w:p>
    <w:p/>
    <w:p>
      <w:r>
        <w:rPr>
          <w:b/>
          <w:bCs/>
        </w:rPr>
        <w:t xml:space="preserve">Recurso: </w:t>
      </w:r>
      <w:r>
        <w:t xml:space="preserve">MS 66/88</w:t>
      </w:r>
    </w:p>
    <w:p/>
    <w:p>
      <w:r>
        <w:t xml:space="preserve">SUBSTITUIÇÃO PROGRESSIVA OU "PARA FRENTE" — PERÍODO ENTRE O CONVÊNIO 66/88 E A LC 87/96 -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discute-se, no caso "sub judice", a chamada "substituição progressiva", ou seja, se é legítima ou não a atribuição, à apelante, da condição de substituta tributária, e, superada essa questão, se a substituição tributária poderia alcançar as operações de vendas por ela (a apelante) efetuadas para cooperativas de consumo. - "Ab initio", é oportuno relembrar os conceitos de substituição tributária e da própria "substituição progressiva", com vista s à melhor compreensão da "quaestio juris posta". - Da doutrina do jurista JOSÉ EDUARDO SOARES DE MELO colhe-se ser a substituição tributária a "...imputação de responsabilidade por obrigação tributária de terceiro que não praticou o fato gerador, mas que tem vinculação indireta com o real contribuinte" (in Curso de Direito Tributário, São Paulo: Ed. Dialética, 1997, p. 179). - Colhe-se, ainda, que "...na substituição progressiva, o legislador indica uma pessoa responsável pelo recolhimento de determinado valor (referido como tributo), relativamente a fato futuro e incerto, com alocação de valor (...), havendo definição, por antecipação, do sujeito passivo de uma obrigação não acontecida, que se presume venha a ser realizada no futuro" (ob. cit., p. 180). - SOARES DE MELO salienta, também, que essa sistemática - substituição progressiva ou "para frente" - "...tem sido considerada para diversas espécies de mercadorias, tais como combustível, lubrificante, água mineral, (...), veículos novos e produtos farmacêuticos". - Em síntese: a figura do substituto legal tributário (ou sujeito passivo indireto) surge por conveniência da Administração tributária, que, por lei, poderá atribuir o dever de pagar o tributo a outra pessoa, que não tenha relação de fato com a operação (fato) tributável. - O preclaro jurista HUGO DE BRITO MACHADO esclarece que "...há substituição quando o legislador, AO DEFINIR A HIPÓTESE DE INCIDÊNCIA TRIBUTÁRIA, coloca desde logo como sujeito passivo da relação tributária que surgirá de sua ocorrência alguém que está a ela diretamente relacionado, embora o fato seja indicador de capacidade contributiva de outros, aos quais, em princípio, poderia ser atribuído o dever de pagar, e que, por suportarem, em princípio, o ônus financeiro do tributo, são geralmente denominados contribuintes de fato" (in Curso de Direito Tributário, São Paulo: Malheiros Editores, 13ª ed., p. 99). - "In haec speci e", a apelante, por lhe ter sido atribuída a condição de substituta tributária, sustenta inexistir "...respaldo constitucional" a embasar essa qualidade, e isto porque a substituição tributária só teria passado a integrar o ordenamento jurídico pátrio através da EC nº 03/93. - Argumenta que, antes do advento da EC nº 03/93, não poderia lhe ter sido atribuída a qualidade de substituta tributária, já que a questão veio regulada através do Convênio nº 66/88 e não de lei complementar como determinado pela Lei Fundamental. - Ora, é de se relembrar que, de acordo com a CF de 1988, o ICMS encontra-se relacionado entre os impostos de competência dos Estados e do Distrito Federal. - É de se relembrar, mais, que, de conformidade com a Lex Major, cabe à lei complementar estabelecer normas gerais em matéria de legislação tributária, especialmente sobre a definição dos fatos geradores do tributo (art. 146, III, "a"). - É de se relembrar, ainda, que, quanto ao ICMS, a Constituição Federal de 1988, no Ato das Disposições Transitórias, estabeleceu prazo para a edição da aludida lei complementar (60 dias,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a CF/88, cabe à lei complementar estabelecer normas gerais em matéria de substituição tributária, especialmente sobre a definição dos fatos geradores do tributo (art. 146, inciso III, alínea "a"). - No que concerne ao ICMS, a CF/88, no Ato das Disposições Transitórias, estabeleceu prazo para a edição de lei complementar (60 dias, a contar de sua promulgação), findo o qual a matéria seria regulada por convênio (interestadual), nos termos da LC nº 24, de 07/01/1975. Ora, a referida lei complementar dispõe que os convênios "...serão celebrados em reuniões para as quais tenham sido convocados representantes de todos os Estados e do Distrito Federal, sob a presidência de representantes do Governo Federal". Assim, com o advento do Convênio nº 66/88, seu baixado Anexo Único estabeleceu que a lei poderá atribuir a condição de substituto tributário a "produtor, extrator, gerador, inclusive de energia industrial, distribuidor, comerciante ou transportador, pelo imposto devido nas operações subseqüentes". Posteriormente ao convênio, editou-se a Lei Complementar nº 87/96, através da qual foram definidos os contribuintes do tributo (ICMS) e disposto acerca do regime de substituição tributária (normas gerais). Logo, no período compreendido entre o Convênio nº 66/88 e a LC nº 87/96, a substituição tributária progressiva ou "para frente" nele regulada, tem validade e eficácia constitucionalmente asseguradas (previsão expressa a respeito do ADCT da CF/88).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2026-06-17T14:15:31.560Z</dcterms:created>
  <dcterms:modified xsi:type="dcterms:W3CDTF">2026-06-17T14:15:31.560Z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