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DESPESAS DE CONDOMÍNIO</w:t>
      </w:r>
    </w:p>
    <w:p/>
    <w:p>
      <w:r>
        <w:rPr>
          <w:b/>
          <w:bCs/>
        </w:rPr>
        <w:t xml:space="preserve">Recurso: </w:t>
      </w:r>
      <w:r>
        <w:t xml:space="preserve">REsp 254.006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26/06/2000</w:t>
      </w:r>
    </w:p>
    <w:p/>
    <w:p>
      <w:r>
        <w:t xml:space="preserve">RESGATE DAS CONTRIBUIÇÕES — INCIDÊNCIA - ÍNDICE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objeto de divergência diz respeito à inclusão dos denominados expurgos inflacionários na correção monetária dos valores resgatados por participantes de plano de benefícios de previdência privada em razão de rompimento de contrato de trabalho firmado com o Banco de Brasília S/A. - O voto condutor do acórdão embargado manifestou-se no sentido de que "a matéria já foi objeto de discussão no Superior Tribunal de Justiça, que em diversos precedentes concluiu pela procedência da vindicação dos autores, porquanto a correção monetária nada mais é do que a mera recomposição econômica da moeda corroída pela inflação, de sorte que deve ser feita de modo a representar, o mais fielmente possível, tal critério. - O acórdão apontado como paradigma, por sua vez, esposou o entendimento de que "tendo a entidade de previdência privada aplicado o fator de atualização previsto nos estatutos, não é possível rever os cálculos para buscar o índice que melhor reflita a inflação dos diversos períodos. O que basta, no caso, é saber se a entidade aplicou, efetivamente, o índice de atualização estipulado; se aplicou, como afirma o acórdão recorrido, não tem guarida, sob pena de desequilíbrio no cálculo atuarial, buscar a atualização pela adoção de índices mais próximos da chamada inflação real". - É certo que o acórdão embargado não explicitou o confronto entre a previsão do índice de correção constante do estatuto da embargante e a pretendida inclusão dos expurgos inflacionários. - Ocorre que, ao afirmar que a jurisprudência deste Col. Tribunal firmou-se no sentido da incidência de índices que recomponham a efetiva desvalorização da moeda nacional", o acórdão embargado terminou, em verdade, por afastar a prevalência do critério pactuado no estatuto, máxime em se considerando que, a par do Tribunal "a quo" ter esposado o entendimento do acórdão paradigma, tal questão restou decidida por ocasião do julgamento do REsp. 254.006 - DF (Relator Ministro Ruy Rosado de Aguiar, DJ 11-09-2000), apontado na fundamentação do acórdão ora embargado. - A apontada divergência, portanto, está configurada. - Conforme entendimento assentado nesta Col. Corte de Justiça, a correção monetária não se revela em um acréscimo, mas na reposição do valor real da moeda, constituindo, por conseguinte, um imperativo de justiça e de equidade. - O em. Ministro César Asfor Rocha, por ocasião do julgamento do REsp. 265.050 - DF, DJ de 19-03-2001, assim se manifestou: "(...) esta Corte já decidiu em incontáveis oportunidades que a atualização monetária do débito deve ser feita de forma a garantir a plena reposição da perda inflacionária, devendo utilizar-se, para tanto, os índices que melhor refletiam a corrosão da moeda no período. Nesse sentido, tratando sobre a restituição de contribuições para planos de assistência privada, os seguintes precedentes: REsp. 148.902 - RJ, por mim relatado, DJ de 04-09-2000; REsp. 254.006 - DF, Relator o eminente Ministro Ruy Rosado de Aguiar, DJ de 11-09-2000; REsp. 172.169 - DF, Relator o eminente Ministro Nilson Naves, DJ de 19-06-2000. Mais recentemente, no julgamento do REsp. 168.643 - DF, concluído em 27-06-2000, da relatoria do eminente Ministro Sálvio de Figueiredo Teixeira, a questão foi novamente trazida à discussão no âmbito da Quarta Turma, que por unanimidade de votos no sentido de que a correção monetária das contribuições feitas deve ser c alculada não com base nos parâmetros estabelecidos pelas partes, mas no IPC, por ser o índice que melhor traduz a perda do poder aquisitivo da moeda." - Dessa forma, o resgate dos valores recolhidos pelos participantes de plano de benefícios de previdência privada deve considerar índices de correção monetária que reflitam a real inflação ocorrida no período, ainda que o estatuto da entidade estabeleça critério de reajuste diverso, como no caso em exame, em que se pactuou a incidência do índice utilizado para as cadernetas de poupança. - Impõe-se, por outro lado, examinar se a inclusão dos expurgos inflacionários, com o afastamento do índice de correção monetária estabelecido no estatuto, poderia representar uma descapitalização da entidade e o desequilíbrio no cálculo atuarial. - É certo que, nas entidades de previdência privada, é necessária a preservação do equilíbrio atuarial entre as suas reservas e os compromissos assumidos com os beneficiários, de forma a não ser possível a assunção de novas obrigações sem a criação de respectivas reservas ou fontes de custeio. - No caso em exame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não se revela em um acréscimo, mas na reposição do valor real da moeda, constituindo, por conseguinte, um imperativo de justiça e de equidade. - Os valores resgatados pelos participantes de um pleno de benefícios de previdência privada devem ser corrigidos de acordo com índices de correção monetária que reflitam a real inflação ocorrida no período, ainda que o estatuto da entidade estabeleça critério de reajuste diverso.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2026-06-17T14:08:46.720Z</dcterms:created>
  <dcterms:modified xsi:type="dcterms:W3CDTF">2026-06-17T14:08:46.720Z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