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DESPESAS DE CONDOMÍNIO</w:t>
      </w:r>
    </w:p>
    <w:p/>
    <w:p>
      <w:r>
        <w:rPr>
          <w:b/>
          <w:bCs/>
        </w:rPr>
        <w:t xml:space="preserve">Recurso: </w:t>
      </w:r>
      <w:r>
        <w:t xml:space="preserve">REsp 128.418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SALVIO DE FIGUEIREDO TEIXEIRA</w:t>
      </w:r>
    </w:p>
    <w:p/>
    <w:p>
      <w:r>
        <w:t xml:space="preserve">FALTA DE REGISTRO — VALIDADE ENTRE 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Alegou a ora agravante em suas razões de recurso especial que o Condomínio agravado não cumpriu o disposto no art. 7º da lei condominial, já que não possui a inscrição obrigatória no Registro de Imóveis; que não foi erigida qualquer edificação pelo instituidor do condomínio com as especificações exigidas pelo art. 8º da dita lei; que a convenção do condomínio não contém a assinatura de titulares que representem no mínimo 2/3 das frações ideais que compõem o condomínio, como determina o art. 9º, §§ 1º e 2º do diploma legal em exame; e, finalmente, que o agravado não fez prova de que as taxas foram instituídas em assembléias, conforme a regra do art. 24 daquela lei. - O e. Tribunal "a quo" concluiu pela legitimidade ativa "ad causam" do ora agravado pelos seguintes fundamentos: "Não se olvida que as sociedades ou associações não registradas ou insuficientemente formadas constituem realidades que o Direito não tem como ignorar, razão pela qual é a elas reconhecida a representação processual ativa ou passiva. A irregularidade do condomínio apelado não traz, pois, como conseqüência, a sua ilegitimidade ativa "ad causam", o que lhe possibilita a cobrança judicial das despesas relativas a serviços prestados no interesse dos condôminos, como bem acentua o douto Juiz sentenciante. (...) Como é sabido, somente através de ação própria se permite ao condômino argüir a nulidade de convenção e assembléias; não há como fazê-lo na ação proposta, em que se busca o recebimento de taxas condominiais. São estas, portanto, devidas e passíveis de cobrança, desde que fixadas em assembléia geral regularmente realizada. (...) Assevera a apelante que o apelado não comprovou ser titular do direito dominial. Todavia, não merece acolhida a alegação, diante da ata d e assembléia, acostada às fls. 40/41, que faz presumir a titularidade dominial do condomínio. Por outro lado, também, não comprova a apelante que a convenção não obteve o "quorum" legal." (fls.). - Esta C. Corte já firmou entendimento no sentido de que a convenção de condomínio aprovada pelos condôminos, ainda que não registrada, tem validade para regular a relação entre as partes, tendo a E. Segunda Seção aprovado, recentemente, o Enunciado de nº 260 da Súmula deste STJ, "in verbis": "A convenção de condomínio aprovada, ainda que sem registro, é eficaz para regular as relações entre os seus condôminos." - Corroboram, ainda, esta orientação os seguintes julgados: "CIVIL. CONDOMÍNIO. CONVENÇÃO APROVADA E NÃO REGISTRADA. OBRIGATORIEDADE PARA OS CONDÔMINOS. PRECEDENTES. LOJA AUTÔNOMA. DESPESAS COMUNS. CRITÉRIO DE RATEIO EXPRESSO NA CONVENÇÃO, CONFORME ART. 12, § 1º, LEI Nº 4.591/64. VALIDADE. RECURSO NÃO CONHECIDO. I - A convenção de condomínio aprovada e não registrada tem validade para regular as relações entre as partes, não podendo o condômino, por esse fundamento, recusar-se ao seu cumprimento. II - E livre a estipulação do critério de rateio das despesas comuns, pela convenção de condomínio, nos termos do art. 12 da Lei nº 4.591/64. III - A verificação da aprovação ou não da convenção pelo mínimo de dois terços dos condôminos implica em reexame de provas, vedado a esta instância, nos termos do enunciado nº 7 da súmula/STJ. IV - A simples transcrição de ementas não é suficiente para a caracterização da divergência jurisprudencial." (REsp. 128.418 -RJ, Relator Ministro SALVIO DE FIGUEIREDO TEIXEIRA, DJ de 13-09-1999) "CONVENÇÃO DE CONDOMÍNIO APROVADA E NÃO REGISTRADA - OBRIGATORIEDADE EM RELAÇÃO AOS CONDÔMINOS - INEXISTÊNCIA DE VIOLAÇÃO AO ART. 9 DA LEI Nº 4.591/64. PRECEDENTES DO STJ. I - A convenção de condomínio aprovada pelos condôminos, ainda que não registrada, tem va lidade para regular as relações entre partes. II - Recurso não conhecido." (RESP. 163.604 - GO, Relator Ministro WALDEMAR ZVEITER, DJ de 10-05-1999) - O exame das demais questões suscitadas pela ora agravante em seu recurso especial, quais sejam, o fato de não ter sido erigida qualquer edificação pelo instituidor do condomínio com as especificações exigidas pelo art. 8º da Lei nº 4.591/64; a convenção do condomínio não conter a assinatura de titulares que representem no mínimo 2/3 das frações ideais que compõem o condomínio; e, finalmente, não ter o agravado não feito prova de que as taxas foram instituídas em assembléias, demandaria a incursão no campo fático-probatório dos autos, o que resta obstado pelo óbice do E. nº 7 da Súmula deste STJ, "in verbis": "A pretensão de simples reexame de prova não enseja recu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convenção de condomínio aprovada pelos condôminos, ainda que não registrada, tem validade para regular a relação entre 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2026-09-10T23:18:05.522Z</dcterms:created>
  <dcterms:modified xsi:type="dcterms:W3CDTF">2026-09-10T23:18:05.522Z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