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DESPESAS DE CONDOMÍNIO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13/11/1984</w:t>
      </w:r>
    </w:p>
    <w:p/>
    <w:p>
      <w:r>
        <w:t xml:space="preserve">COLISÃO DE VEÍCULOS — COMO DEVE SER FEITA A REPARAÇÃO DOS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assinalado pela Turma Julgadora, "desde o começo do processo, insurge-se a embargada contra o preço pretendido como indenização, alegando que o pedido figurava superior ao valor do veículo. A intenção de ressarcimento dos salvados não representa fato novo, decorre da sentença que condenou a embargada no pagamento do valor total da moto, enquanto a mesma permaneceu no poder do embargante, em perfeitas condições de trafegabilidade, conforme logrou provar a embargada em suas razões de apelo". - No mais, argumenta o recorrente que não poderia o eg. Tribunal de origem determinar a dedução dos "salvados" do valor da indenização. - O autor apresentou dois orçamentos, um de R$ 10.493,98 e o outro de R$ 9.823,00. A moto, no entanto, foi avaliada em R$ 8.800,00. Diante disso, a sentença resolveu limitar a indenização nesse último valor, por entender que haveria enriquecimento indevido se o "quantum" indenizatório superasse o real valor do bem. O Tribunal de Origem decidiu manter esse critério, mas determinou a dedução dos "salvados". - A posição deste Tribunal sobre o tema ainda não é uniforme. Por exemplo, a Terceira Turma, em mais de uma oportunidade, decidiu diversamente do acórdão impugnado: "Civil. Responsabilidade Civil. Acidente de Trânsito. Indenização. A indenização deve corresponder ao montante necessário para repor o veículo nas condições em que se encontrava antes do sinistro, ainda que superior ao valor de mercado; prevalece aí o interesse de quem foi lesado. Recurso especial conhecido e improvido" (REsp. nº 65.603 - SP, DJ de 06-12-99, relator o Ministro Ari Pargendler, por maioria). "Civil. Responsabilidade Civil. Acidente de trânsito, Indenização. I - O valor da indenização há de corresponder ao da recomposição do automóvel no seu estado anterior, sendo irrelevante seu valor de mercado, pois o autor tem direito a ser indenizado na quantia que lhe seja mais favorável (art. 948 do Código Civil). Não pode, por isso, ser obrigado a se sujeitar à aquisição de outro veículo equivalente e com dedução da sucata, por imposição de quem o lesou (REsp. nº 57.180 - SP, DJ de 19-08-96, relator o Ministro Waldemar Zveiter, por unanimidade). - No mesmo sentido, decidiu a Segunda Turma, como se vê do REsp. nº 135.618 - SC (DJ de 13-03-2000), assim ementado: "O valor da indenização há que corresponder ao valor da recomposição do automóvel no seu estado anterior, sendo irrelevante o seu valor de mercado, por isso que o autor tem o direito a ser indenizado na quantia que lhe seja mais favorável." - A Primeira e esta Turma, no entanto, têm entendimento diverso, retratado nas seguintes ementas: "I - Ressalvadas situações especiais (peças de coleções etc.), o custo da reconstituição de veículo acidentado não deve ultrapassar seu valor de mercado; II - Se a recuperação do veículo mostra-se economicamente inviável, a indenização deve corresponder ao valor de um carro semelhante, com a idade que tinha o acidentado, na data do sinistro; III - Para se chegar a este valor, apura-se o valor do veículo na data do sinistro e, a partir de então, corrige-se o respectivo montante, até a data do pagamento" (REsp. nº 56.708 - SP, DJ de 10-04-95, relator o Ministro Gomes de Barros). "Mostrando-se economicamente inviável a recuperação do veículo acidentado, a indenização deve corresponder ao valor de um carro, semelhante, com a idade que tinha o acidentado, na data do sinistro, corrigindo-se, a partir de então, o respectivo montante até a data do pagamento." (REsp. nº 159.793 - SP, DJ de 19-06-2000, relator o Ministro César Asfor Rocha). - Tenho que a orientação desta Turma é a que melhor se ajusta à espécie. No REsp. nº 69.435 - SP (DJ de 26-05-97), tive oportunidade, como relator, de lançar as seguintes considerações: "... tanto a jurisprudência como doutrina assinalam que, quando os orçamentos são de valor superior ao de mercado do veículo sinistrado, mais razoável é a reparação por valor que possibilite a compra de outro, semelhante ao sinistrado, deduzindo da indenização o valor da sucata. Neste sentido, doutrina CARLOS ROBERTO GONÇALVES, in "Responsabilidade Civil", Saraiva, 6ª ed., 1995, págs. 601/602: "Algumas vezes, no entanto, os danos são de tal monta que não compensa mandar consertar o veículo. As peças novas, muitas vezes, estão valorizadas e a substituição ou os reparos ficam mais caros do que a aquisição de outro veículo, idêntico ao que foi danificado. Por isso, tem-se decidido: "Quando os orçamentos para o conserto atinge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embargo de respeitáveis opiniões em contrário, quando os orçamentos são de valor superior ao de mercado, mais razoável se mostra a reparação por quantitativo que possibilite a compra de outro, semelhante ao veículo sinistrado, deduzindo-se da indenização o valor da sucata.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2026-10-26T01:56:34.381Z</dcterms:created>
  <dcterms:modified xsi:type="dcterms:W3CDTF">2026-10-26T01:56:34.381Z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