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ESTATUTO DA CRIANÇA E DOADOLESCENTE</w:t>
      </w:r>
    </w:p>
    <w:p>
      <w:r>
        <w:rPr>
          <w:i/>
          <w:iCs/>
          <w:color w:val="666666"/>
        </w:rPr>
        <w:t xml:space="preserve">LEI 8.069 DE 13-07-1990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ADVOGADO — SUA LEGITIMIDADE ATIVA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................................................. - Melhor sorte não assiste ao recorrente quanto ao conhecimento do especial pela alínea "c" do permissivo constitucional. Dos arestos colacionados, apenas um apresenta fonte de publicação. Esse, no entanto, discute a respeito de quem teria legitimidade para impugnar as cobranças realizadas pelo advogado, concluindo que "a parte vencida na ação não tem interesse em recorrer contra a decisão que reconheceu o direito autônomo do advogado em levantar os honorários por ela depositado". A questão não guarda similitude com o caso em tela. - Observo, por fim, que o artigo 21, a cujo propósito se invoca decisão do Supremo Tribunal Federal, na ADIn 1.194, nada tem a ver com a hipótese em julgamento. - Não conheço do recurso. Ac. de 17-02-2000 DJ de 28-08-2000 (Reg. nº 1997/0038731-3) Arquivo do EMFOR, STJ/N 5532 EMENTÁRIO FORENSE. Agosto, 2003. Ano LV. Nº 657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contraria o artigo 23 da mesma lei a decisão que reconhece ser do advogado e não da parte a legitimidade para cobrança de honorários, devidos por força de condenação judicial.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2026-06-17T14:15:53.047Z</dcterms:created>
  <dcterms:modified xsi:type="dcterms:W3CDTF">2026-06-17T14:15:53.047Z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