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>
      <w:r>
        <w:rPr>
          <w:b/>
          <w:bCs/>
        </w:rPr>
        <w:t xml:space="preserve">Recurso: </w:t>
      </w:r>
      <w:r>
        <w:t xml:space="preserve">Agravo de Instrumento 135.509-8</w:t>
      </w:r>
    </w:p>
    <w:p/>
    <w:p>
      <w:r>
        <w:t xml:space="preserve">PAGAMENTO DE PENSÃO — EXECUÇÃO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Desmerece prosperar a irresignação do apelante. - Já no Agravo de Instrumento nº 135.509-8 (acórdão, fls.), sustentou o agravante, MUNICÍPIO DE BELO HORIZONTE, que não cabia execução provisória contra a FAZENDA PÚBLICA, ficando vencido, pois ali se decidiu que "a execução pode prosseguir". - Não fora por isso, e também porque, com razão asseverou o douto magistrado prolator da sentença apelada, a pretensão das autoras no tocante à incorporação, em definitivo, aos seus proventos, do valor de gratificação de dedicação exclusiva de que trata o art. 2º, II, da Lei Municipal nº 5.633, de 5 de dezembro de 1989, está ancorada em decisão judicial de caráter mandamental, a ser simplesmente implementada, não dependendo, à evidência, de liquidação e execução, impõe-se, no caso, a manutenção do "decisum". - Sentença que determina o pagamento de pensão previdenciária em valor integral, consoante garantia constitucional estabelecida no art. 40, § 8º da CF/88, possui natureza mandamental quanto às prestações futuras, devendo ser cumprida com a simples notificação do responsável. - Com estas considerações, negando provimento à apelação, confirmo a sentença hostilizada por seus próprios e jurídicos fundamentos. Ac. de 23-04-2002 DJ de 26-04-2002 Jurisprudência Mineira. Julho a Setembro, 2002. Ano 53. Vol. 161. Pág. 236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Sentença que determina o pagamento de pensão previdenciária em valor integral, consoante garantia constitucional estabelecida no art. 40, § 8º da CF/88, possui natureza mandamental quanto às prestações futuras, devendo ser cumprida com a simples notificação do responsável.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2026-10-26T04:20:36.071Z</dcterms:created>
  <dcterms:modified xsi:type="dcterms:W3CDTF">2026-10-26T04:20:36.071Z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