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Apelação Cível 178.409-0</w:t>
      </w:r>
    </w:p>
    <w:p>
      <w:r>
        <w:rPr>
          <w:b/>
          <w:bCs/>
        </w:rPr>
        <w:t xml:space="preserve">Relator: </w:t>
      </w:r>
      <w:r>
        <w:t xml:space="preserve">CÉLIO CÉSAR PADUANI</w:t>
      </w:r>
    </w:p>
    <w:p/>
    <w:p>
      <w:r>
        <w:t xml:space="preserve">PRESUNÇÃO LEGAL DE CERTEZA E LIQUIDEZ — DESNECESSIDADE DE PROCESSO TRIBUTÁRIO ADMINISTRATIVO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Esclareço, inicialmente, que no presente caso é despicienda a distinção entre a taxa (tributo) e tarifa ou preço público, uma vez que ambas as modalidades podem ser perseguidas judicialmente pela via de execução fiscal regulada pela lei 6.830, de 22 de setembro de 1980. - A autarquia/apelante optou pelo regime contratual (tarifa ou preço público), ancorado pela melhor doutrina. "A realidade está em que os serviços públicos de utilidades, específicos e divisíveis, podem ser remunerados por preços (regime contratual) ou por taxas(regime de direito público). O dilema resolve-se pela opção do legislador". SACHA CALMON, Curso de Direito Tributário Brasileiro, Forense, 6ª edição, pág. 415. - De qualquer maneira, não se justifica a pretensão de se ter por imperativa a existência e juntada de Processo Tributário Administrativo aos autos, sendo mesmo totalmente impertinente. - A MM. Juíza de Primeiro Grau não procedeu com o costumeiro acerto. Tal decisão, a meu sentir, não possui suporte legal. Segundo o disposto no Código Tributário Nacional: "Art. 202 - o termo de inscrição da dívida ativa, autenticado pela autoridade competente, indicará obrigatoriamente"... V - sendo o caso, o número do processo administrativo de que se originar o crédito". (grifamos). - Todavia, nem toda inscrição resulta de um procedimento administrativo. Nos casos de lançamento direto, se o contribuinte não formula impugnação e não efetua o pagamento enseja a inscrição, independentemente de procedimento administrativo. É perfeitamente justificável, assim, a expressão "sendo o caso", inserta no Código Tributário Nacional. - O processo administrativo só será exigido se a dívida nele tiver origem, o que não é o caso dos autos. - A inexistência de Processo Administrativo Tributário, na hipótese em comento, não invalida nem afasta a presunção de liquidez e certeza de que goza a Fazenda Pública, a teor do disposto no art. 3º da Lei de Execução Fiscal. Neste sentido a exposição do eminente Des. Hugo Bengtsson no julgamento da Apelação Cível 178.409-0, dentre outros casos idênticos, na esteira de reiteradas decisões deste Egrégio Tribunal. - Diante do exposto, em reexame necessário, casso a sentença, determinando o prosseguimento do feito, prejudicado o recurso voluntário. Ac. de 10-06-2002 DJ de 17-09-2002 Jurisprudência Mineira. Julho a Setembro, 2002. Ano 53. Vol. 161. Pág. 365 EMENTÁRIO FORENSE. Outubro, 2003. Ano LV. Nº 659 EMENTA: - Art. 1º da Lei de Falência. - Sendo o título de crédito líquido, certo e exigível, tem o credor, ante a impontualidade do devedor, a opção de executá-lo ou requerer sua falência, não cabendo ao juiz tal escolha, mesmo porque esse é um meio mais seguro e eficaz que o ordinário, oferecendo efeitos imediatos como a arrecadação dos bens do devedor. RESUMO DO ACÓRDÃO: - Conheço do recurso, por estarem presentes os pressupostos de sua admissibilidade, anotando que o Juízo entendeu não estar o pedido amparado em títulos hábeis e ainda fundamentando sua decisão na seguinte assertiva: "A via correta para o caso como os autos é a execução, por quantia certa, ante título vencido e protestado por falta de aceite e sem forma especial do art. 10 da LF. Frustrada a execução, ai sim, indubitavelmente, caberia a quebra, por insolvência. Mas não é isso que se vê nos autos, onde a defesa e a réplica à contestação mudaram os rumos da discussão inicial, com fatos que não podem ser dirimidos na estrita sede do processo falimentar". (fls.). - Entretanto, entendo que o Juízo não tem razão, "data venia". Em primeiro lugar, porque os títulos não têm os defeitos apontados, haja vista que a própria defesa não ousou contestar sua validade, preferindo alegar a ocorrência de um acerto parcial de devolução de mercadorias, mas admitindo, expressamente, que realmente consumiu outro tanto dessas mercadorias adquiridas junto à apelante e ainda não quitadas. - Assim, a NF 7894, documento de fls., foi claramente exibida nos autos e, na sua contestação, a apelada admite, fls., que continuava a dever por seus valores, pedindo, inclusive, um prazo para honrar seus compromissos. - A lição é de MOACYR AMARAL SANTOS: "Baseia-se a execução em título executivo, o qual insta ser líquido, certo e exigível. ... Vale dizer, o título deve necessariamente expressar certeza, liquidez e exigibilidade da obrigação; liquid ez corresponde a determinação do valor ou a individuação do objeto da obrigação, conforme se trate de obrigação de pagar em dinheiro, de entrega da coisa, de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processo administrativo só será exigido se a dívida nele tiver origem. - Na execução fiscal, cabe ao sujeito passivo da relação processual desfazer a presunção de liquidez e certeza da Certidão de Dívida Ativa.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2026-06-17T14:18:06.835Z</dcterms:created>
  <dcterms:modified xsi:type="dcterms:W3CDTF">2026-06-17T14:18:06.835Z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