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REsp 83.930/</w:t>
      </w:r>
    </w:p>
    <w:p>
      <w:r>
        <w:rPr>
          <w:b/>
          <w:bCs/>
        </w:rPr>
        <w:t xml:space="preserve">Relator: </w:t>
      </w:r>
      <w:r>
        <w:t xml:space="preserve">Humberto Gomes</w:t>
      </w:r>
    </w:p>
    <w:p/>
    <w:p>
      <w:r>
        <w:t xml:space="preserve">SALDO REMANESCENTE — EMISSÃO DE NOVA DUPLICATA 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diz respeito a saber se é válida a duplicata emitida, "in casu", representativa do saldo remanescente, pelo adimplemento apenas parcial da dívida contida em outra duplicata. - Partindo-se do quadro fático estabelecido no acórdão recorrido, nota-se que são incontroversos: a) a existência de uma operação de compra e venda mercantil entre as partes; b) a respectiva entrega das mercadorias; c) o não pagamento de parte da dívida, no valor de R$ 18.393,02. - Assim, a despeito de originariamente terem sido emitidas somente duas duplicatas, ns. 2.549A e 2.549B (nos valores de 7.606,98 e R$ 33.393,02), nota-se que a emissão da duplicata n. 2.549C não contém vício de invalidade, pois somente substituiu o título de n. 2.549B e ainda está relacionada à mesma operação de compra e venda e à mesma fatura (n. 2.549), além de representar quantia da qual a ora recorrente admite ser devedora. Ademais, não se vislumbra aqui, qualquer prejuízo para a devedora-recorrente. De fato, a credora poderia apontar para protesto e, posteriormente, promover execução com base, ainda, na duplicata 2.549B, cobrando a parte não paga (nesse sentido, entre outros, REsp 83.930/MG , Rel. Min. Humberto Gomes de Barros.). - Verifica-se, portanto, que a declaração de nulidade da duplicata 2549C apenas afrontaria os princípios da economia e celeridade processuais, sem que trazer, em contrapartida, benefício lícito à devedora. - Forte em tais razões, não conheço do recurso especial. - É o voto. Ac. de 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duplicata emitida com base em relação de compra e venda mercantil, para a cobrança da diferença entre o valor da duplicata anteriormente emitida, que ficou, assim, substituída, e o pagamento parcial efetuado pelo devedor. - Deve-se dar efetividade aos princípios da economia e celeridade processuais, principalmente, porque não se vislumbra prejuízo para qualquer das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2026-07-28T00:01:48.920Z</dcterms:created>
  <dcterms:modified xsi:type="dcterms:W3CDTF">2026-07-28T00:01:48.920Z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