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Recurso: </w:t>
      </w:r>
      <w:r>
        <w:t xml:space="preserve">Ap 19.265-0</w:t>
      </w:r>
    </w:p>
    <w:p>
      <w:r>
        <w:rPr>
          <w:b/>
          <w:bCs/>
        </w:rPr>
        <w:t xml:space="preserve">Relator: </w:t>
      </w:r>
      <w:r>
        <w:t xml:space="preserve">SYDNEY ZAPPA</w:t>
      </w:r>
    </w:p>
    <w:p/>
    <w:p>
      <w:r>
        <w:t xml:space="preserve">MANDATÁRIA — SUA ILEGITIMIDADE PASSIVA PELO INADIMPLEMENTO DO MANDANTE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Colhe-se dos autos que a ré não é proprietária dos imóveis referidos no documento..., nominado de "recibo de sinal de negócio e princípio de pagamento", pertencentes na verdade a R. C. I de I. Ltda. Agiu apenas no exercício de mandato, para o que recebeu poderes para, em nome daquela "praticar atos, ou administrar interesses" (cf C. Civil, art. 1.288). - Portanto, ainda que tenha a ré, no exercício do mandato, contrariado instruções do mandante, quanto a outorga da escritura de compra e venda, se não excedeu os limites do contrato, caberá a este responder pelos atos daquele (cf. C. Civil, art. 1.313). - Assim, desde que pelos atos do mandatário, em hipótese como a dos autos, responde o mandante, afigura-se a ré-apelante como parte passiva ilegítima. - Em hipótese semelhante, esta Câmara decidiu em acórdão assim resumido: "Legitimidade passiva. Promessa de venda. Rescisão. Corretora que agiu como mera intermediária. Tratando-se de mandatária, que se limitou a intermediar a venda de imóvel, não tendo, por isso, a possibilidade de cumprir pessoalmente os termos do contrato, não pode ser acionada para cumpri-lo ou responder pelo inadimplemento do mandante e conseqüente rescisão contratual. Extinção do processo sem julgamento do mérito, por ilegitimidade passiva. Apelação desprovida" (Ap 19.265-0, de 2-9-1992, Rel. Des. SYDNEY ZAPPA). - Impõe-se, por conseguinte, na conformidade com o disposto no art. 267, VI, do CPC, a extinção do processo sem julgamento do mérito. Ac. de 05-10-1994 Arquivo do EMFOR - TJ/2.516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mandatária, que se limitou a intermediar a venda de imóvel, não tendo, por isso, a possibilidade de cumprir pessoalmente os termos do contrato, não pode ser acionada para cumpri-lo ou responder pelo inadimplemento do mandante e conseqüente rescisão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2026-10-26T02:15:13.709Z</dcterms:created>
  <dcterms:modified xsi:type="dcterms:W3CDTF">2026-10-26T02:15:13.709Z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