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/>
    <w:p>
      <w:r>
        <w:t xml:space="preserve">COMPLEMENTAÇÃO — INTERESSE DE AGIR - PREVALÊNCIA MESMO APÓS O ADVENTO DA LC Nº 110/01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Suscita a CEF, preliminarmente, que a Lei Complementar nº 110/01 teria acarretado a superveniente falta de interesse de agir do(s) Autor(es), por tê-la autorizado a aplicar, administrativamente, os índices de 16,06% e 44,80% sobre o saldo das contas do FGTS. - Rejeito, no entanto, tal preliminar, porquanto o legislador não teve a intenção (nem poderia fazê-lo) de elidir o interesse dos titulares de contas vinculadas ao FGTS de ingressar em Juízo, objetivando o complemento da correção monetária de suas contas. Isto porque a LC nº 110/01 condiciona o pagamento, via administrativa, à assinatura de termo de adesão, no qual o titular deve concordar com a redução do valor que lhe é devido, além de ter que se submeter à forma e ao prazo legalmente estabelecidos para o cumprimento da obrigação. - Subsiste, portanto, o legítimo interesse dos demandantes de continuar com o pleito na via jurisdicional, com o escopo de obter o pagamento integral de seu crédito, sem sujeitar-se a qualquer condição legal instituída por norma jurídica superveniente. Ac. de 25-04-2003 DJ de 23-05-2003, pág. 205 Arquivo do EMFOR, TRF/N 5666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Subsiste o interesse dos titulares de contas vinculadas ao FGTS de ingressar em Juízo, objetivando o complemento da correção monetária dos respectivos saldos, mesmo após o advento da Lei Complementar nº 110/01, porquanto o aludido ato legislativo condiciona o pagamento, via administrativa, à assinatura de termo de adesão, no qual o titular deve concordar com a redução do valor que lhe é devido, além de ter que se submeter à forma e prazo legalmente estabelecidos para o cumprimento da obrigação. Persiste, pois, tal interesse, na medida em que não terão que se sujeitar a qualquer cláusula que iniba o pagamento integral de seus créditos.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2026-10-26T04:15:17.984Z</dcterms:created>
  <dcterms:modified xsi:type="dcterms:W3CDTF">2026-10-26T04:15:17.984Z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