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ACIDENTE EM VIA PÚBLICA</w:t>
      </w:r>
    </w:p>
    <w:p/>
    <w:p>
      <w:r>
        <w:rPr>
          <w:b/>
          <w:bCs/>
        </w:rPr>
        <w:t xml:space="preserve">Relator: </w:t>
      </w:r>
      <w:r>
        <w:t xml:space="preserve">Federal Antônio Ezequiel</w:t>
      </w:r>
    </w:p>
    <w:p/>
    <w:p>
      <w:r>
        <w:t xml:space="preserve">AÇÕES QUE BUSCAM AS DIFERENÇAS DE CORREÇÃO MONETÁRIA DO SALDO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matéria encontra-se pacificada. O Supremo Tribunal Federal entende que a contribuição para o FGTS não possui natureza jurídica de caráter tributário, mas, sim, social, não se lhe aplicando, portanto, a prescrição qüinqüenal prevista no CTN. - O Superior Tribunal de Justiça, a seu turno, perfilha idêntico posicionamento, já, inclusive, objeto de súmula: "Súmula 210: A ação de cobrança das contribuições do FGTS prescreve em trinta (30) anos." - A jurisprudência desta Corte, igualmente, pacificou-se no sentido de ser trintenária a prescrição na espécie, "verbis": "PROCESSUAL CIVIL E CIVIL - FUNDO DE GARANTIA DE TEMPO DE SERVIÇO - CORREÇÃO MONETÁRIA - AUSÊNCIA DE EXTRATOS - PRESCRIÇÃO - LEGITIMIDADE PASSIVA - EXPURGOS INFLACIONÁRIOS. JUROS PROGRESSIVOS. .................................................... 3. Ambas as Turmas que compõem a Segunda Seção deste Tribunal têm entendido ser trintenária a prescrição da ação para cobrança de diferenças de correção monetária nas contas vinculadas do FGTS."(AC 2000.01.00.041087-2/MG, Rel. Des. Federal Antônio Ezequiel, Terceira Turma, DJ de 15/12/00, p. 219). Ac. de 25-04-2003 DJ de 23-05-2003, pág. 205 Arquivo do EMFOR, TRF/N 5666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consolidada do Superior Tribunal de Justiça e desta Corte firmaram o entendimento de que é trintenário o prazo prescricional da ação para cobrança de diferenças de correção monetária dos saldos das contas vinculadas ao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2026-10-26T04:18:15.498Z</dcterms:created>
  <dcterms:modified xsi:type="dcterms:W3CDTF">2026-10-26T04:18:15.498Z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