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MS 21.571</w:t>
      </w:r>
    </w:p>
    <w:p/>
    <w:p>
      <w:r>
        <w:t xml:space="preserve">NOMEAÇÃO DE MAGISTRADO — AUTORIDADE COATORA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mandado de segurança contra a nomeação de magistrado da competência do Presidente da República, este é considerado autoridade coatora, ainda que o fundamento da impetração seja nulidade ocorrida em fase anterior do procedimento. Julgados: MS 21.571, SP, Plenário, 29.4.93, DJU de 13.6.97, RTJ 162/517 MS 21.632, SP, Plenário, 12.5.93, DJU de 6.8.93, RTJ 152/493 MS 21.631, red. p/ ac. IG, Plenário, 9.6.93, DJU de 4.8.2000 MS 21.814, NS, Plenário, 14.4.94, DJU de 10.6.94, Lex 191/189 MS 21.168, SP, Plenário, 23.6.94, DJU de 16.9.94, Lex 192/139 MS 22.323, CV, Plenário, 18.9.95, DJU de 19.4.96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2026-06-17T15:24:53.535Z</dcterms:created>
  <dcterms:modified xsi:type="dcterms:W3CDTF">2026-06-17T15:24:53.535Z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