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Recurso: </w:t>
      </w:r>
      <w:r>
        <w:t xml:space="preserve">MS 21.571</w:t>
      </w:r>
    </w:p>
    <w:p/>
    <w:p>
      <w:r>
        <w:t xml:space="preserve">NOMEAÇÃO DE MAGISTRADO — AUTORIDADE COATORA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mandado de segurança contra a nomeação de magistrado da competência do Presidente da República, este é considerado autoridade coatora, ainda que o fundamento da impetração seja nulidade ocorrida em fase anterior do procedimento. Julgados: MS 21.571, SP, Plenário, 29.4.93, DJU de 13.6.97, RTJ 162/517 MS 21.632, SP, Plenário, 12.5.93, DJU de 6.8.93, RTJ 152/493 MS 21.631, red. p/ ac. IG, Plenário, 9.6.93, DJU de 4.8.2000 MS 21.814, NS, Plenário, 14.4.94, DJU de 10.6.94, Lex 191/189 MS 21.168, SP, Plenário, 23.6.94, DJU de 16.9.94, Lex 192/139 MS 22.323, CV, Plenário, 18.9.95, DJU de 19.4.96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2026-09-10T23:13:17.871Z</dcterms:created>
  <dcterms:modified xsi:type="dcterms:W3CDTF">2026-09-10T23:13:17.871Z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