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>
      <w:r>
        <w:rPr>
          <w:b/>
          <w:bCs/>
        </w:rPr>
        <w:t xml:space="preserve">Recurso: </w:t>
      </w:r>
      <w:r>
        <w:t xml:space="preserve">MS 21.103</w:t>
      </w:r>
    </w:p>
    <w:p/>
    <w:p>
      <w:r>
        <w:t xml:space="preserve">NOMEAÇÃO — IMPUGNAÇÃO - PARTE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Integrante de lista de candidatos a determinada vaga da composição de tribunal é parte legítima para impugnar a validade da nomeação de concorrente. Legislação: - Lei 1.533/51, art. 1º, § 2º Julgados: MS 21.103, IG, Plenário, 20.3.92, DJU de 12.3.93, RTJ 141/810 AO 70, red. p/ ac. SP, Plenário, 9.4.92, DJU de 18.6.93, RTJ 147/345 MS 21.357, MAM, Plenário, 22.4.92, DJU de 22.5.92, RTJ 145/167 MS 21.814, NS, Plenário, 14.4.94, DJU de 10.6.94, Lex 191/189 MS 21.570, OG, Plenário, 28.2.96, DJU de 21.6.96, RTJ 160/157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2026-10-26T02:36:29.261Z</dcterms:created>
  <dcterms:modified xsi:type="dcterms:W3CDTF">2026-10-26T02:36:29.261Z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