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CONTRIBUIÇÕES E BENEFÍCIOS</w:t>
      </w:r>
    </w:p>
    <w:p/>
    <w:p>
      <w:r>
        <w:rPr>
          <w:b/>
          <w:bCs/>
        </w:rPr>
        <w:t xml:space="preserve">Recurso: </w:t>
      </w:r>
      <w:r>
        <w:t xml:space="preserve">MS 20.936</w:t>
      </w:r>
    </w:p>
    <w:p/>
    <w:p>
      <w:r>
        <w:t xml:space="preserve">DEFESA DE UMA PARTE DA CATEGORIA — SUA LEGITIMIDADE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entidade de classe tem legitimação para o mandado de segurança ainda quando a pretensão veiculada interesse apenas a uma parte da respectiva categoria. Legislação: - CF, art. 5º, LXX Julgados: MS 20.936, SP, Plenário, 8.11.89, DJU de 11.9.92, RTJ 142/446 RMS 21.514, MAM, 2ª T, 27.4.93, DJU de 18.6.93, RTJ 150/104 Súmulas da Jurisprudência Predominante do Supremo Tribunal Federal - ADENDO Nº 7 - Aprovado pelo Tribunal Pleno, na sessão de 24 de setembro de 2003 e que se publica no Diário da Justiça, por 3 dias consecutivos, nos termos do § 3º do art. 102 do Regimento Interno. EMENTÁRIO FORENSE. Dezembro, 2003. Ano LV. Nº 661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2026-06-17T14:05:39.309Z</dcterms:created>
  <dcterms:modified xsi:type="dcterms:W3CDTF">2026-06-17T14:05:39.309Z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