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CONTRIBUIÇÕES E BENEFÍCIOS</w:t>
      </w:r>
    </w:p>
    <w:p/>
    <w:p>
      <w:r>
        <w:rPr>
          <w:b/>
          <w:bCs/>
        </w:rPr>
        <w:t xml:space="preserve">Recurso: </w:t>
      </w:r>
      <w:r>
        <w:t xml:space="preserve">MS 20.936</w:t>
      </w:r>
    </w:p>
    <w:p/>
    <w:p>
      <w:r>
        <w:t xml:space="preserve">DEFESA DE UMA PARTE DA CATEGORIA — SUA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entidade de classe tem legitimação para o mandado de segurança ainda quando a pretensão veiculada interesse apenas a uma parte da respectiva categoria. Legislação: - CF, art. 5º, LXX Julgados: MS 20.936, SP, Plenário, 8.11.89, DJU de 11.9.92, RTJ 142/446 RMS 21.514, MAM, 2ª T, 27.4.93, DJU de 18.6.93, RTJ 150/104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2026-09-10T22:11:07.948Z</dcterms:created>
  <dcterms:modified xsi:type="dcterms:W3CDTF">2026-09-10T22:11:07.948Z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