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/>
    <w:p>
      <w:r>
        <w:t xml:space="preserve">FALTA DE CITAÇÃO — EXTINÇÃO DO PROCESSO -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Extingue-se o processo de mandado de segurança se o impetrante não promove, no prazo assinado, a citação do litisconsorte passivo necessário. Legislação: - Lei 1.533/51, art. 19 com a redação da Lei 6.071/74 - CPC (Lei 5.869/73), arts. 47 e 267, III e IV Julgados: MS (QO) 21.496, MA, Plenário, 5.2.93, DJU de 2.4.93, RTJ 148/724 MS (AgRg) 21.753, PB, Plenário, 8.4.94, DJU de 20.5.94, Lex 188/203 HC 75.853, SP, 1ª T, 9.9.97, DJU de 17.10.97 HC 76.660, MC, 2ª T, 9.6.98, DJU de 14.8.98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2026-10-26T02:40:30.970Z</dcterms:created>
  <dcterms:modified xsi:type="dcterms:W3CDTF">2026-10-26T02:40:30.970Z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