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231.085</w:t>
      </w:r>
    </w:p>
    <w:p/>
    <w:p>
      <w:r>
        <w:t xml:space="preserve">PROCESSO E JULGAMENTO — A QUEM COMPETE</w:t>
      </w:r>
    </w:p>
    <w:p/>
    <w:p>
      <w:pPr>
        <w:pStyle w:val="Heading2"/>
      </w:pPr>
      <w:r>
        <w:rPr>
          <w:b/>
          <w:bCs/>
        </w:rPr>
        <w:t xml:space="preserve">Ementa</w:t>
      </w:r>
    </w:p>
    <w:p>
      <w:r>
        <w:t xml:space="preserve">Cabe ao Presidente do Tribunal de origem decidir o pedido de medida cautelar em recurso extraordinário ainda pendente do seu juízo de admissibilidade. Legislação: - CPC, art. 800, parágrafo único Julgados: Pet (QO) 1.863, MA, 1ª T, 7.12.99, DJU de 14.4.2000 Pet (QO) 1.872, MA, 1ª T, 7.12.99, DJU de 14.4.2000 Pet 1.903, NS, Plenário, 21.1.2000, DJU de 6.9.2001 RCL 1.509, red. p/ acórdão SP, Plenário, 21.6.2000, DJU de 6.9.2001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Não cabe recurso extraordinário por contrariedade ao princípio constitucional da legalidade, quando a sua verificação pressuponha rever a interpretação dada a normas infraconstitucionais pela decisão recorrida. Legislação: - CF, art. 5º, II Julgados: AG (AgRg) 142.834, CV, 2ª T, 3.11.92, DJU de 27.11.92 AG (AgRg) 134.736, SP, 1ª T, 21.6.94, DJU de 17.2.95 AG (AgRg) 157.990, MAM, 2ª T, 8.9.94, DJU de 12.5.95 AG (AgRg) 210.553, MC, 2ª T, 27.4.98, DJU de 19.6.98 RE 231.085, MA, 1ª T, 4.4.2000, DJU de 19.5.2000 RE (AgRg) 266.041, CM, 2ª T, 26.9.2000, DJU de 9.2.2001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2026-06-17T14:05:08.641Z</dcterms:created>
  <dcterms:modified xsi:type="dcterms:W3CDTF">2026-06-17T14:05:08.641Z</dcterms:modified>
</cp:coreProperties>
</file>

<file path=docProps/custom.xml><?xml version="1.0" encoding="utf-8"?>
<Properties xmlns="http://schemas.openxmlformats.org/officeDocument/2006/custom-properties" xmlns:vt="http://schemas.openxmlformats.org/officeDocument/2006/docPropsVTypes"/>
</file>