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/>
    <w:p>
      <w:r>
        <w:t xml:space="preserve">LEI DO DISTRITO FEDERAL — QUANDO NÃO CABE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cabe ação direta de inconstitucionalidade de lei do Distrito Federal derivada da sua competência legislativa municipal. Legislação: - CF, art. 32, § 1º e art. 102, I, a Julgados: ADIn 611, SP, Plenário, 6.11.92, DJU de 18.12.92, RTJ 145/491 ADIn 880, SP, Plenário, 6.10.93, DJU de 4.2.94, RTJ 153/108 ADIn 1.375, MA, Plenário, 23.11.95, DJU de 23.2.96 ADIn 209, SS, Plenário, 20.5.98, DJU de 11.9.98, RTJ 167/725 ADIn 1.832, IG, Plenário, 27.5.98, DJU de 7.8.98, RTJ 167/789 ADIn 1.812, IG, Plenário, 17.6.98, DJU de 4.9.98 Súmulas da Jurisprudência Predominante do Supremo Tribunal Federal - ADENDO Nº 7 - Aprovado pelo Tribunal Pleno, na sessão de 24 de setembro de 2003 e que se publica no Diário da Justiça, por 3 dias consecutivos, nos termos do § 3º do art. 102 do Regimento Interno. EMENTÁRIO FORENSE. Dezembro, 2003. Ano LV. Nº 661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2026-06-17T14:06:51.540Z</dcterms:created>
  <dcterms:modified xsi:type="dcterms:W3CDTF">2026-06-17T14:06:51.540Z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