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RE 163.231</w:t>
      </w:r>
    </w:p>
    <w:p/>
    <w:p>
      <w:r>
        <w:t xml:space="preserve">MENSALIDADES ESCOLARES — IMPUGNAÇÃO - SUA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tem legitimidade para promover ação civil pública cujo fundamento seja a ilegalidade de reajuste de mensalidades escolares. Legislação: - CF. art. 129, III - Lei 8.078/90, art. 2º, parágrafo único - Lei 8.625/93, art. 25 Julgados: RE 163.231, MC, Plenário, 26.2.97, DJU de 29.6.2001 RE 190.976, IG, 1ª T., 31.10.97, DJU de 6.2.98 RE 185.360, CV, 2ª T., 17.11.97, DJU de 20.2.98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2026-06-17T14:15:26.083Z</dcterms:created>
  <dcterms:modified xsi:type="dcterms:W3CDTF">2026-06-17T14:15:26.083Z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