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CONTRIBUIÇÕES E BENEFÍCIOS</w:t>
      </w:r>
    </w:p>
    <w:p/>
    <w:p>
      <w:r>
        <w:rPr>
          <w:b/>
          <w:bCs/>
        </w:rPr>
        <w:t xml:space="preserve">Recurso: </w:t>
      </w:r>
      <w:r>
        <w:t xml:space="preserve">RE 234.105-</w:t>
      </w:r>
    </w:p>
    <w:p/>
    <w:p>
      <w:r>
        <w:t xml:space="preserve">ALÍQUOTAS COM BASE NO VALOR VENAL DO IMÓVEL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a lei que estabelece alíquotas progressivas para o imposto de transmissão inter vivos de bens imóveis - ITBI com base no valor venal do imóvel. Legislação: - CF, art. 156, II - CF, art. 145, § 1º Julgados: RE 234.105-SP, CV, Plenário, 8.4.99, DJU de 31.3.2000 RE 227.033-SP, MA, 1ª T., 10.8.99, DJU de 17.9.99 RE 252.368-SP, MAM, 2ª T., 17.8.99, DJU de 15.10.99 RE 252.044-SP, MA, 1ª T., 31.8.99, DJU de 1.10.99 RE 153.771-MG, MA, Plenário, 20.11.96, DJU de 5.9.97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2026-10-26T03:48:12.748Z</dcterms:created>
  <dcterms:modified xsi:type="dcterms:W3CDTF">2026-10-26T03:48:12.748Z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