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193.817</w:t>
      </w:r>
    </w:p>
    <w:p/>
    <w:p>
      <w:r>
        <w:t xml:space="preserve">COBRANÇA — QUANDO SE LEGITIMA</w:t>
      </w:r>
    </w:p>
    <w:p/>
    <w:p>
      <w:pPr>
        <w:pStyle w:val="Heading2"/>
      </w:pPr>
      <w:r>
        <w:rPr>
          <w:b/>
          <w:bCs/>
        </w:rPr>
        <w:t xml:space="preserve">Ementa</w:t>
      </w:r>
    </w:p>
    <w:p>
      <w:r>
        <w:t xml:space="preserve">Na entrada de mercadoria importada do exterior, é legítima a cobrança do ICMS por ocasião do desembaraço aduaneiro. Legislação: - CF, art. 155, § 2º, IX, a Julgados: RE 193.817, IG, Plenário, 23.10.96, DJU de 10.8.2001 RE 192.711, IG, Plenário, 23.10.96, DJU de 18.4.97 RE 192.630, CV, 2ª T, 19.11.96, DJU de 7.2.97 RE 200.348, MA, 1ª T, 8.4.97, DJU de 3.10.97 RE 208.492, OG, 1ª T, 29.4.97, DJU de 22.8.97 RE 209.849, CM, 1ª T, 20.5.97, DJU de 22.8.97 RE 205.756, NJ, 2ª T, 3.11.97, DJU de 29.5.98 RE 207.133, SS, 1ª T, 18.11.97, DJU de 19.12.97 RE 232.248, MAM, 2ª T, 26.10.98, DJU de 12.2.99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2026-06-17T16:34:56.801Z</dcterms:created>
  <dcterms:modified xsi:type="dcterms:W3CDTF">2026-06-17T16:34:56.801Z</dcterms:modified>
</cp:coreProperties>
</file>

<file path=docProps/custom.xml><?xml version="1.0" encoding="utf-8"?>
<Properties xmlns="http://schemas.openxmlformats.org/officeDocument/2006/custom-properties" xmlns:vt="http://schemas.openxmlformats.org/officeDocument/2006/docPropsVTypes"/>
</file>