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181.832</w:t>
      </w:r>
    </w:p>
    <w:p/>
    <w:p>
      <w:r>
        <w:t xml:space="preserve">RECOLHIMENTO — NORMA LEGAL QUE ALTERA O PRAZO - PRINCÍPIO DA ANTERIORIDADE - NÃO SUJEIÇÃO</w:t>
      </w:r>
    </w:p>
    <w:p/>
    <w:p>
      <w:pPr>
        <w:pStyle w:val="Heading2"/>
      </w:pPr>
      <w:r>
        <w:rPr>
          <w:b/>
          <w:bCs/>
        </w:rPr>
        <w:t xml:space="preserve">Ementa</w:t>
      </w:r>
    </w:p>
    <w:p>
      <w:r>
        <w:t xml:space="preserve">Norma legal que altera o prazo de recolhimento da obrigação tributária não se sujeita ao princípio da anterioridade. Legislação: - CF, art. 195, § 6º - Lei 8.218/91 Julgados: RE 181.832, IG, 1ª T, 28.6.96, DJU de 27.9.96 RE 222.460, IG, 1ª T, 28.4.98, DJU de 25.9.98 AG (AgRg) 224.046, OG, 1ª T, 26.3.99, DJU de 24.9.99 RE 205.686, SP, 1ª T, 4.5.99, DJU de 25.6.99. RE 228.796-SC, red. p/ acórdão MC, Plenário, 22.9.99, DJU de 3.3.2000 RE 240.266-PR, red. p/ acórdão MC, Plenário, 22.9.99, DJU de 3.3.2000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O serviço de iluminação pública não pode ser remunerado mediante taxa. Legislação: - CF, art. 145, II Julgados: RE 231.764, IG, Plenário, 10.3.99, DJU de 21.5.99 RE 233.332, IG, Plenário, 10.3.99, DJU de 14.5.99 AG (AgRg) 231.132, CV, 2ª T., 25.5.99, DJU de 6.8.99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2026-06-17T15:18:11.722Z</dcterms:created>
  <dcterms:modified xsi:type="dcterms:W3CDTF">2026-06-17T15:18:11.722Z</dcterms:modified>
</cp:coreProperties>
</file>

<file path=docProps/custom.xml><?xml version="1.0" encoding="utf-8"?>
<Properties xmlns="http://schemas.openxmlformats.org/officeDocument/2006/custom-properties" xmlns:vt="http://schemas.openxmlformats.org/officeDocument/2006/docPropsVTypes"/>
</file>